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</w:t>
      </w: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eastAsia" w:eastAsia="宋体"/>
          <w:sz w:val="21"/>
          <w:lang w:val="en-US" w:eastAsia="zh-CN"/>
        </w:rPr>
      </w:pPr>
    </w:p>
    <w:p>
      <w:pPr>
        <w:spacing w:line="243" w:lineRule="auto"/>
        <w:rPr>
          <w:rFonts w:hint="default" w:eastAsia="宋体"/>
          <w:sz w:val="21"/>
          <w:lang w:val="en-US" w:eastAsia="zh-CN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40" w:line="666" w:lineRule="exact"/>
        <w:ind w:left="753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8"/>
          <w:position w:val="16"/>
          <w:sz w:val="43"/>
          <w:szCs w:val="43"/>
        </w:rPr>
        <w:t>安徽省医疗保障局关于优化安徽省基本</w:t>
      </w:r>
    </w:p>
    <w:p>
      <w:pPr>
        <w:spacing w:before="2" w:line="223" w:lineRule="auto"/>
        <w:ind w:left="545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8"/>
          <w:sz w:val="43"/>
          <w:szCs w:val="43"/>
        </w:rPr>
        <w:t>医疗保险慢特病门诊用药报销政策的通知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1"/>
      </w:pPr>
      <w:r>
        <w:rPr>
          <w:spacing w:val="5"/>
        </w:rPr>
        <w:t>各市、县医疗保障局，局有关处室、单位：</w:t>
      </w:r>
    </w:p>
    <w:p>
      <w:pPr>
        <w:pStyle w:val="2"/>
        <w:spacing w:before="199" w:line="345" w:lineRule="auto"/>
        <w:ind w:firstLine="652"/>
        <w:jc w:val="both"/>
      </w:pPr>
      <w:r>
        <w:rPr>
          <w:spacing w:val="9"/>
        </w:rPr>
        <w:t>为进一步优化我省基本医疗保险慢性病、特殊疾病（以下简</w:t>
      </w:r>
      <w:r>
        <w:rPr>
          <w:spacing w:val="16"/>
        </w:rPr>
        <w:t xml:space="preserve"> </w:t>
      </w:r>
      <w:r>
        <w:rPr>
          <w:spacing w:val="-3"/>
        </w:rPr>
        <w:t>称慢特病）</w:t>
      </w:r>
      <w:r>
        <w:rPr>
          <w:spacing w:val="-88"/>
        </w:rPr>
        <w:t xml:space="preserve"> </w:t>
      </w:r>
      <w:r>
        <w:rPr>
          <w:spacing w:val="-3"/>
        </w:rPr>
        <w:t>门诊用药报销政策， 方便参保群众看病就医，</w:t>
      </w:r>
      <w:r>
        <w:rPr>
          <w:spacing w:val="-4"/>
        </w:rPr>
        <w:t xml:space="preserve"> 现就有</w:t>
      </w:r>
    </w:p>
    <w:p>
      <w:pPr>
        <w:pStyle w:val="2"/>
        <w:spacing w:before="1" w:line="227" w:lineRule="auto"/>
        <w:ind w:left="8"/>
      </w:pPr>
      <w:r>
        <w:rPr>
          <w:spacing w:val="-2"/>
        </w:rPr>
        <w:t>关事项通知如下：</w:t>
      </w:r>
    </w:p>
    <w:p>
      <w:pPr>
        <w:pStyle w:val="2"/>
        <w:spacing w:before="206" w:line="343" w:lineRule="auto"/>
        <w:ind w:left="1" w:firstLine="636"/>
        <w:jc w:val="both"/>
      </w:pPr>
      <w:r>
        <w:rPr>
          <w:rFonts w:ascii="黑体" w:hAnsi="黑体" w:eastAsia="黑体" w:cs="黑体"/>
          <w:spacing w:val="10"/>
        </w:rPr>
        <w:t>一、取消慢病门诊用药目录。</w:t>
      </w:r>
      <w:r>
        <w:rPr>
          <w:spacing w:val="10"/>
        </w:rPr>
        <w:t>参保慢特病患者门诊费用报销</w:t>
      </w:r>
      <w:r>
        <w:rPr>
          <w:spacing w:val="4"/>
        </w:rPr>
        <w:t xml:space="preserve"> </w:t>
      </w:r>
      <w:r>
        <w:rPr>
          <w:spacing w:val="8"/>
        </w:rPr>
        <w:t>不再受《安徽省基本医疗保险慢特病门诊用</w:t>
      </w:r>
      <w:r>
        <w:rPr>
          <w:spacing w:val="7"/>
        </w:rPr>
        <w:t>药目录》限制，</w:t>
      </w:r>
      <w:r>
        <w:rPr>
          <w:spacing w:val="-88"/>
        </w:rPr>
        <w:t xml:space="preserve"> </w:t>
      </w:r>
      <w:r>
        <w:rPr>
          <w:spacing w:val="7"/>
        </w:rPr>
        <w:t>门诊</w:t>
      </w:r>
      <w:r>
        <w:t xml:space="preserve"> </w:t>
      </w:r>
      <w:r>
        <w:rPr>
          <w:spacing w:val="10"/>
        </w:rPr>
        <w:t>使用符合病情需要的国家基本医保药品目录内药品时，可按规定</w:t>
      </w:r>
    </w:p>
    <w:p>
      <w:pPr>
        <w:pStyle w:val="2"/>
        <w:spacing w:line="226" w:lineRule="auto"/>
        <w:ind w:left="7"/>
      </w:pPr>
      <w:r>
        <w:rPr>
          <w:spacing w:val="7"/>
        </w:rPr>
        <w:t>享受基本医保门诊慢特病报销待遇。</w:t>
      </w:r>
    </w:p>
    <w:p>
      <w:pPr>
        <w:spacing w:line="226" w:lineRule="auto"/>
        <w:sectPr>
          <w:footerReference r:id="rId5" w:type="default"/>
          <w:pgSz w:w="11906" w:h="16838"/>
          <w:pgMar w:top="1431" w:right="1333" w:bottom="1839" w:left="1607" w:header="0" w:footer="1567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  <w:r>
        <w:pict>
          <v:shape id="_x0000_s1027" o:spid="_x0000_s1027" style="position:absolute;left:0pt;margin-left:70.85pt;margin-top:714.9pt;height:1pt;width:442.15pt;mso-position-horizontal-relative:page;mso-position-vertical-relative:page;z-index:251659264;mso-width-relative:page;mso-height-relative:page;" filled="f" stroked="t" coordsize="8842,20" o:allowincell="f" path="m0,9l8842,9e">
            <v:fill on="f" focussize="0,0"/>
            <v:stroke weight="0.96pt" color="#000000" miterlimit="10" joinstyle="bevel"/>
            <v:imagedata o:title=""/>
            <o:lock v:ext="edit"/>
          </v:shape>
        </w:pict>
      </w:r>
      <w:r>
        <w:pict>
          <v:shape id="_x0000_s1028" o:spid="_x0000_s1028" style="position:absolute;left:0pt;margin-left:70.85pt;margin-top:741.7pt;height:1pt;width:442.15pt;mso-position-horizontal-relative:page;mso-position-vertical-relative:page;z-index:251660288;mso-width-relative:page;mso-height-relative:page;" filled="f" stroked="t" coordsize="8842,20" o:allowincell="f" path="m0,9l8842,9e">
            <v:fill on="f" focussize="0,0"/>
            <v:stroke weight="0.96pt" color="#000000" miterlimit="10" joinstyle="bevel"/>
            <v:imagedata o:title=""/>
            <o:lock v:ext="edit"/>
          </v:shape>
        </w:pict>
      </w:r>
    </w:p>
    <w:p>
      <w:pPr>
        <w:spacing w:line="341" w:lineRule="auto"/>
        <w:rPr>
          <w:rFonts w:ascii="Arial"/>
          <w:sz w:val="21"/>
        </w:rPr>
      </w:pPr>
    </w:p>
    <w:p>
      <w:pPr>
        <w:pStyle w:val="2"/>
        <w:spacing w:before="101" w:line="344" w:lineRule="auto"/>
        <w:ind w:right="4" w:firstLine="637"/>
        <w:jc w:val="both"/>
      </w:pPr>
      <w:r>
        <w:rPr>
          <w:rFonts w:ascii="黑体" w:hAnsi="黑体" w:eastAsia="黑体" w:cs="黑体"/>
          <w:spacing w:val="10"/>
        </w:rPr>
        <w:t>二、做好目录编码更新对照。</w:t>
      </w:r>
      <w:r>
        <w:rPr>
          <w:spacing w:val="10"/>
        </w:rPr>
        <w:t>省医保中心、省医保信息中心</w:t>
      </w:r>
      <w:r>
        <w:rPr>
          <w:spacing w:val="4"/>
        </w:rPr>
        <w:t xml:space="preserve"> 做好慢特病门诊用药数据库的更新维护， 督促指导各统筹区医保</w:t>
      </w:r>
      <w:r>
        <w:rPr>
          <w:spacing w:val="12"/>
        </w:rPr>
        <w:t xml:space="preserve"> </w:t>
      </w:r>
      <w:r>
        <w:rPr>
          <w:spacing w:val="4"/>
        </w:rPr>
        <w:t>经办机构及定点医药机构做好更新对照， 确保按照国家基本医保</w:t>
      </w:r>
    </w:p>
    <w:p>
      <w:pPr>
        <w:pStyle w:val="2"/>
        <w:spacing w:line="227" w:lineRule="auto"/>
        <w:ind w:left="6"/>
      </w:pPr>
      <w:r>
        <w:rPr>
          <w:spacing w:val="6"/>
        </w:rPr>
        <w:t>药品目录规定结算报销慢特病门诊费用。</w:t>
      </w:r>
    </w:p>
    <w:p>
      <w:pPr>
        <w:pStyle w:val="2"/>
        <w:spacing w:before="201" w:line="344" w:lineRule="auto"/>
        <w:ind w:right="4" w:firstLine="639"/>
        <w:jc w:val="both"/>
      </w:pPr>
      <w:r>
        <w:rPr>
          <w:rFonts w:ascii="黑体" w:hAnsi="黑体" w:eastAsia="黑体" w:cs="黑体"/>
          <w:spacing w:val="10"/>
        </w:rPr>
        <w:t>三、加强门诊基金使用监管。</w:t>
      </w:r>
      <w:r>
        <w:rPr>
          <w:spacing w:val="10"/>
        </w:rPr>
        <w:t>各统筹地区要加强对定点医药</w:t>
      </w:r>
      <w:r>
        <w:rPr>
          <w:spacing w:val="3"/>
        </w:rPr>
        <w:t xml:space="preserve"> </w:t>
      </w:r>
      <w:r>
        <w:rPr>
          <w:spacing w:val="10"/>
        </w:rPr>
        <w:t>机构的协议管理与监督检查，统筹飞行检查、举报核查、经办稽</w:t>
      </w:r>
      <w:r>
        <w:rPr>
          <w:spacing w:val="4"/>
        </w:rPr>
        <w:t xml:space="preserve"> </w:t>
      </w:r>
      <w:r>
        <w:rPr>
          <w:spacing w:val="10"/>
        </w:rPr>
        <w:t>核、智能监管等多种方式，督促指导定点医药机构和从业人员合</w:t>
      </w:r>
    </w:p>
    <w:p>
      <w:pPr>
        <w:pStyle w:val="2"/>
        <w:spacing w:before="1" w:line="225" w:lineRule="auto"/>
        <w:ind w:left="3"/>
      </w:pPr>
      <w:r>
        <w:rPr>
          <w:spacing w:val="5"/>
        </w:rPr>
        <w:t>理检查、合理治疗、合理用药。</w:t>
      </w:r>
    </w:p>
    <w:p>
      <w:pPr>
        <w:pStyle w:val="2"/>
        <w:spacing w:before="196" w:line="345" w:lineRule="auto"/>
        <w:ind w:firstLine="642"/>
        <w:jc w:val="both"/>
      </w:pPr>
      <w:r>
        <w:rPr>
          <w:spacing w:val="-4"/>
        </w:rPr>
        <w:t>本《通知》自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2023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4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4"/>
        </w:rPr>
        <w:t>月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  </w:t>
      </w:r>
      <w:r>
        <w:rPr>
          <w:spacing w:val="-4"/>
        </w:rPr>
        <w:t>日起执行，《安徽省医疗保障局</w:t>
      </w:r>
      <w:r>
        <w:t xml:space="preserve"> </w:t>
      </w:r>
      <w:r>
        <w:rPr>
          <w:spacing w:val="-1"/>
        </w:rPr>
        <w:t>关于印发〈安徽省基本医疗保险门诊慢性病、特殊病管理办法（试</w:t>
      </w:r>
      <w:r>
        <w:t xml:space="preserve"> </w:t>
      </w:r>
      <w:r>
        <w:rPr>
          <w:spacing w:val="-11"/>
        </w:rPr>
        <w:t>行）〉</w:t>
      </w:r>
      <w:r>
        <w:rPr>
          <w:spacing w:val="-76"/>
        </w:rPr>
        <w:t xml:space="preserve"> </w:t>
      </w:r>
      <w:r>
        <w:rPr>
          <w:spacing w:val="-11"/>
        </w:rPr>
        <w:t>的通知》（皖医保秘〔</w:t>
      </w:r>
      <w:r>
        <w:rPr>
          <w:rFonts w:ascii="Times New Roman" w:hAnsi="Times New Roman" w:eastAsia="Times New Roman" w:cs="Times New Roman"/>
          <w:spacing w:val="-11"/>
        </w:rPr>
        <w:t>2020</w:t>
      </w:r>
      <w:r>
        <w:rPr>
          <w:spacing w:val="-11"/>
        </w:rPr>
        <w:t>〕</w:t>
      </w:r>
      <w:r>
        <w:rPr>
          <w:rFonts w:ascii="Times New Roman" w:hAnsi="Times New Roman" w:eastAsia="Times New Roman" w:cs="Times New Roman"/>
          <w:spacing w:val="-11"/>
        </w:rPr>
        <w:t>132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1"/>
        </w:rPr>
        <w:t>号）、《</w:t>
      </w:r>
      <w:r>
        <w:rPr>
          <w:spacing w:val="-12"/>
        </w:rPr>
        <w:t>安徽省医疗保障局</w:t>
      </w:r>
      <w:r>
        <w:t xml:space="preserve"> </w:t>
      </w:r>
      <w:r>
        <w:rPr>
          <w:spacing w:val="-1"/>
        </w:rPr>
        <w:t>关于印发〈安徽省基本医疗保险慢特病门诊用药目录（试行）〉的</w:t>
      </w:r>
      <w:r>
        <w:rPr>
          <w:spacing w:val="2"/>
        </w:rPr>
        <w:t xml:space="preserve"> </w:t>
      </w:r>
      <w:r>
        <w:rPr>
          <w:spacing w:val="-4"/>
        </w:rPr>
        <w:t>通知》（皖医保秘〔</w:t>
      </w:r>
      <w:r>
        <w:rPr>
          <w:rFonts w:ascii="Times New Roman" w:hAnsi="Times New Roman" w:eastAsia="Times New Roman" w:cs="Times New Roman"/>
          <w:spacing w:val="-4"/>
        </w:rPr>
        <w:t>2021</w:t>
      </w:r>
      <w:r>
        <w:rPr>
          <w:spacing w:val="-4"/>
        </w:rPr>
        <w:t>〕</w:t>
      </w:r>
      <w:r>
        <w:rPr>
          <w:rFonts w:ascii="Times New Roman" w:hAnsi="Times New Roman" w:eastAsia="Times New Roman" w:cs="Times New Roman"/>
          <w:spacing w:val="-4"/>
        </w:rPr>
        <w:t>37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-4"/>
        </w:rPr>
        <w:t>号）、《安徽</w:t>
      </w:r>
      <w:r>
        <w:rPr>
          <w:spacing w:val="-5"/>
        </w:rPr>
        <w:t>省医疗保障局关于调整</w:t>
      </w:r>
      <w:r>
        <w:t xml:space="preserve"> </w:t>
      </w:r>
      <w:r>
        <w:rPr>
          <w:spacing w:val="4"/>
        </w:rPr>
        <w:t>增补基本医保慢特病门诊用药目录的通知》（皖医保秘〔</w:t>
      </w:r>
      <w:r>
        <w:rPr>
          <w:rFonts w:ascii="Times New Roman" w:hAnsi="Times New Roman" w:eastAsia="Times New Roman" w:cs="Times New Roman"/>
          <w:spacing w:val="4"/>
        </w:rPr>
        <w:t>2022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-1"/>
        </w:rPr>
        <w:t>号）、《安徽省医疗保障局关于调整基本医保慢特病门诊用药目录</w:t>
      </w:r>
      <w:r>
        <w:rPr>
          <w:spacing w:val="4"/>
        </w:rPr>
        <w:t xml:space="preserve"> </w:t>
      </w:r>
      <w:r>
        <w:rPr>
          <w:spacing w:val="5"/>
        </w:rPr>
        <w:t>的通知》（皖医保秘〔</w:t>
      </w:r>
      <w:r>
        <w:rPr>
          <w:rFonts w:ascii="Times New Roman" w:hAnsi="Times New Roman" w:eastAsia="Times New Roman" w:cs="Times New Roman"/>
          <w:spacing w:val="5"/>
        </w:rPr>
        <w:t>2023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28</w:t>
      </w:r>
      <w:r>
        <w:rPr>
          <w:rFonts w:ascii="Times New Roman" w:hAnsi="Times New Roman" w:eastAsia="Times New Roman" w:cs="Times New Roman"/>
          <w:spacing w:val="55"/>
        </w:rPr>
        <w:t xml:space="preserve"> </w:t>
      </w:r>
      <w:r>
        <w:rPr>
          <w:spacing w:val="5"/>
        </w:rPr>
        <w:t>号）等关于慢特病门诊用药目录</w:t>
      </w:r>
    </w:p>
    <w:p>
      <w:pPr>
        <w:pStyle w:val="2"/>
        <w:spacing w:line="226" w:lineRule="auto"/>
        <w:ind w:left="19"/>
      </w:pPr>
      <w:r>
        <w:rPr>
          <w:spacing w:val="4"/>
        </w:rPr>
        <w:t>的有关规定不再执行。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01" w:line="578" w:lineRule="exact"/>
        <w:ind w:left="5164"/>
      </w:pPr>
      <w:bookmarkStart w:id="0" w:name="_GoBack"/>
      <w:bookmarkEnd w:id="0"/>
      <w:r>
        <w:rPr>
          <w:spacing w:val="6"/>
          <w:position w:val="19"/>
        </w:rPr>
        <w:t>安徽省医疗保障局</w:t>
      </w:r>
    </w:p>
    <w:p>
      <w:pPr>
        <w:pStyle w:val="2"/>
        <w:spacing w:before="2" w:line="227" w:lineRule="auto"/>
        <w:ind w:left="5199"/>
      </w:pPr>
      <w:r>
        <w:rPr>
          <w:rFonts w:ascii="Times New Roman" w:hAnsi="Times New Roman" w:eastAsia="Times New Roman" w:cs="Times New Roman"/>
          <w:spacing w:val="-8"/>
        </w:rPr>
        <w:t>2023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8"/>
        </w:rPr>
        <w:t>年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8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8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16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-8"/>
        </w:rPr>
        <w:t>日</w:t>
      </w: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92" w:line="222" w:lineRule="auto"/>
        <w:ind w:left="342"/>
        <w:rPr>
          <w:sz w:val="28"/>
          <w:szCs w:val="28"/>
        </w:rPr>
      </w:pPr>
      <w:r>
        <w:rPr>
          <w:spacing w:val="-9"/>
          <w:sz w:val="28"/>
          <w:szCs w:val="28"/>
        </w:rPr>
        <w:t>安徽省医疗保障局办公室</w:t>
      </w:r>
      <w:r>
        <w:rPr>
          <w:sz w:val="28"/>
          <w:szCs w:val="28"/>
        </w:rPr>
        <w:t xml:space="preserve">                 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2023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年</w:t>
      </w:r>
      <w:r>
        <w:rPr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20"/>
          <w:w w:val="10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月</w:t>
      </w:r>
      <w:r>
        <w:rPr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16  </w:t>
      </w:r>
      <w:r>
        <w:rPr>
          <w:spacing w:val="-9"/>
          <w:sz w:val="28"/>
          <w:szCs w:val="28"/>
        </w:rPr>
        <w:t>日印发</w:t>
      </w:r>
    </w:p>
    <w:p>
      <w:pPr>
        <w:pStyle w:val="2"/>
        <w:spacing w:before="240" w:line="179" w:lineRule="auto"/>
        <w:ind w:left="31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—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—</w:t>
      </w:r>
    </w:p>
    <w:sectPr>
      <w:footerReference r:id="rId6" w:type="default"/>
      <w:pgSz w:w="11906" w:h="16838"/>
      <w:pgMar w:top="1431" w:right="1554" w:bottom="400" w:left="13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7638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4"/>
        <w:sz w:val="28"/>
        <w:szCs w:val="28"/>
      </w:rPr>
      <w:t>1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spacing w:val="-1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AwODRiZWZlZWFmNmJjYWVhMGVjZjkxODJiNTZiNzYifQ=="/>
  </w:docVars>
  <w:rsids>
    <w:rsidRoot w:val="00000000"/>
    <w:rsid w:val="12663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2023-08-24T10:51:00Z</dcterms:created>
  <dc:creator>zh</dc:creator>
  <cp:lastModifiedBy>WPS_1641775660</cp:lastModifiedBy>
  <dcterms:modified xsi:type="dcterms:W3CDTF">2024-01-04T08:13:20Z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2024-01-04T16:13:01Z</vt:filetime>
  </property>
  <property fmtid="{D5CDD505-2E9C-101B-9397-08002B2CF9AE}" pid="4" name="KSOProductBuildVer">
    <vt:lpwstr>2052-12.1.0.16120</vt:lpwstr>
  </property>
  <property fmtid="{D5CDD505-2E9C-101B-9397-08002B2CF9AE}" pid="5" name="ICV">
    <vt:lpwstr>241819A0C0F746089DFC3ED2832ACBC7_12</vt:lpwstr>
  </property>
</Properties>
</file>