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6B142F3A">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黄山市医疗保障局 黄山市卫生健康委员会</w:t>
      </w:r>
    </w:p>
    <w:p w14:paraId="54575CD8">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关于调整急诊诊察费等部分医疗服务项目</w:t>
      </w:r>
    </w:p>
    <w:p w14:paraId="0E182A29">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价格的通知</w:t>
      </w:r>
    </w:p>
    <w:p w14:paraId="3118266C">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黄医保〔2024〕36号</w:t>
      </w:r>
    </w:p>
    <w:p w14:paraId="2902FAD0">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p>
    <w:p w14:paraId="3C1884C2">
      <w:pPr>
        <w:keepNext w:val="0"/>
        <w:keepLines w:val="0"/>
        <w:pageBreakBefore w:val="0"/>
        <w:widowControl w:val="0"/>
        <w:kinsoku/>
        <w:wordWrap/>
        <w:overflowPunct w:val="0"/>
        <w:topLinePunct w:val="0"/>
        <w:autoSpaceDE/>
        <w:autoSpaceDN/>
        <w:bidi w:val="0"/>
        <w:adjustRightInd w:val="0"/>
        <w:snapToGrid w:val="0"/>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各区县医疗保障局、卫生健康委，市属定点医疗机构，局属各单位：</w:t>
      </w:r>
    </w:p>
    <w:p w14:paraId="6440F84E">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根据《安徽省医疗保障局 安徽省卫生健康委员会关于调整急诊诊察费等部分医疗服务项目价格的通知》（皖医保秘〔2024〕22号）精神，按照“总量控制、结构调整”原则，对部分技术劳务价值高、价格长期未调整、临床矛盾突出的项目实施价格专项调整，现将有关事项通知如下：</w:t>
      </w:r>
    </w:p>
    <w:p w14:paraId="285CF08E">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一、调整急诊诊察费等医疗服务项目价格，详见附件，所标注价格为各级公立医院最高政府指导价。价格调整后，原医保支付政策不变。</w:t>
      </w:r>
    </w:p>
    <w:p w14:paraId="44EEB651">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高值医用耗材集中带量采购与医疗服务价格协同联动机制。按采购年度评估医疗机构集采中选产品采购情况，医疗机构未完成约定采购量的，所涉及的调价项目下一年度仍按调整前收费标准执行。此次价格专项调整中，人工全髋关节置换术、人工膝关节表面置换术、脊柱椎间融合器植入植骨融合术等3个调价项目涉及国家组织人工关节和省级组织骨科植入脊柱类高值医用耗材集采，分别评估上一采购年度（2022年12月27日-2023年</w:t>
      </w:r>
      <w:bookmarkStart w:id="0" w:name="_GoBack"/>
      <w:bookmarkEnd w:id="0"/>
      <w:r>
        <w:rPr>
          <w:rFonts w:hint="default" w:ascii="Times New Roman" w:hAnsi="Times New Roman" w:eastAsia="方正仿宋_GBK" w:cs="Times New Roman"/>
          <w:sz w:val="32"/>
          <w:szCs w:val="32"/>
        </w:rPr>
        <w:t>12月26日）髋关节、膝关节、骨科脊柱相关中选产品约定采购量完成情况，医疗机构未完成约定采购量的，自本通知执行之日起1年内，相应调价项目按调整前收费标准执行。民营医疗机构使用髋关节、膝关节、骨科脊柱耗材不高于集采中选价格且达到约定比例的，相应的医疗服务项目价格可参照公立医院执行。</w:t>
      </w:r>
    </w:p>
    <w:p w14:paraId="189FD99E">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三、各定点医疗机构要加强内部管理，健全价格信息公开制度、住院费用清单制度和价格投诉处理制度，规范医疗服务收费行为，做好医疗服务价格公示，提高医药价格透明度，接受社会监督。</w:t>
      </w:r>
    </w:p>
    <w:p w14:paraId="3992CDC9">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四、本通知自2024年7月1日起执行。</w:t>
      </w:r>
    </w:p>
    <w:p w14:paraId="61574747">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6B9ACCAA">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附件：调整后部分医疗服务项目价格表</w:t>
      </w:r>
    </w:p>
    <w:p w14:paraId="757899BF">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p>
    <w:p w14:paraId="3A156A63">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sz w:val="32"/>
          <w:szCs w:val="32"/>
        </w:rPr>
      </w:pPr>
    </w:p>
    <w:p w14:paraId="668E0303">
      <w:pPr>
        <w:keepNext w:val="0"/>
        <w:keepLines w:val="0"/>
        <w:pageBreakBefore w:val="0"/>
        <w:widowControl w:val="0"/>
        <w:kinsoku/>
        <w:wordWrap/>
        <w:overflowPunct w:val="0"/>
        <w:topLinePunct w:val="0"/>
        <w:autoSpaceDE/>
        <w:autoSpaceDN/>
        <w:bidi w:val="0"/>
        <w:adjustRightInd w:val="0"/>
        <w:snapToGrid w:val="0"/>
        <w:spacing w:line="590" w:lineRule="exact"/>
        <w:ind w:firstLine="960" w:firstLineChars="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黄山市医疗保障局        黄山市卫生健康委员会</w:t>
      </w:r>
    </w:p>
    <w:p w14:paraId="664C8B4A">
      <w:pPr>
        <w:keepNext w:val="0"/>
        <w:keepLines w:val="0"/>
        <w:pageBreakBefore w:val="0"/>
        <w:widowControl w:val="0"/>
        <w:kinsoku/>
        <w:wordWrap/>
        <w:overflowPunct w:val="0"/>
        <w:topLinePunct w:val="0"/>
        <w:autoSpaceDE/>
        <w:autoSpaceDN/>
        <w:bidi w:val="0"/>
        <w:adjustRightInd w:val="0"/>
        <w:snapToGrid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2024年6月26日　</w:t>
      </w:r>
    </w:p>
    <w:p w14:paraId="44858B3F">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28DE3683">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669C79C5">
      <w:pPr>
        <w:suppressAutoHyphens/>
        <w:bidi w:val="0"/>
        <w:rPr>
          <w:rFonts w:hint="eastAsia" w:ascii="宋体" w:hAnsi="宋体" w:eastAsia="宋体" w:cs="宋体"/>
          <w:sz w:val="32"/>
          <w:szCs w:val="32"/>
        </w:rPr>
      </w:pPr>
    </w:p>
    <w:p w14:paraId="108DDE37">
      <w:pPr>
        <w:suppressAutoHyphens/>
        <w:bidi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3803861F">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auto"/>
        <w:outlineLvl w:val="1"/>
        <w:rPr>
          <w:rFonts w:hint="eastAsia" w:ascii="方正小标宋_GBK" w:hAnsi="方正小标宋_GBK" w:eastAsia="方正小标宋_GBK" w:cs="方正小标宋_GBK"/>
          <w:b w:val="0"/>
          <w:bCs w:val="0"/>
          <w:kern w:val="0"/>
          <w:sz w:val="44"/>
          <w:szCs w:val="44"/>
          <w:shd w:val="clear" w:color="auto" w:fill="FFFFFF"/>
          <w:lang w:val="en-US" w:eastAsia="zh-CN" w:bidi="ar"/>
        </w:rPr>
      </w:pPr>
      <w:r>
        <w:rPr>
          <w:rFonts w:hint="eastAsia" w:ascii="方正小标宋_GBK" w:hAnsi="方正小标宋_GBK" w:eastAsia="方正小标宋_GBK" w:cs="方正小标宋_GBK"/>
          <w:b w:val="0"/>
          <w:bCs w:val="0"/>
          <w:kern w:val="0"/>
          <w:sz w:val="44"/>
          <w:szCs w:val="44"/>
          <w:shd w:val="clear" w:color="auto" w:fill="FFFFFF"/>
          <w:lang w:val="en-US" w:eastAsia="zh-CN" w:bidi="ar"/>
        </w:rPr>
        <w:t>调整后部分医疗服务项目价格表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68"/>
        <w:gridCol w:w="750"/>
        <w:gridCol w:w="2430"/>
        <w:gridCol w:w="420"/>
        <w:gridCol w:w="465"/>
        <w:gridCol w:w="510"/>
        <w:gridCol w:w="540"/>
        <w:gridCol w:w="525"/>
        <w:gridCol w:w="525"/>
        <w:gridCol w:w="855"/>
        <w:gridCol w:w="1005"/>
        <w:gridCol w:w="431"/>
      </w:tblGrid>
      <w:tr w14:paraId="5CA3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457" w:type="dxa"/>
            <w:vMerge w:val="restart"/>
            <w:noWrap w:val="0"/>
            <w:vAlign w:val="center"/>
          </w:tcPr>
          <w:p w14:paraId="1AD3BD93">
            <w:pPr>
              <w:widowControl/>
              <w:suppressAutoHyphens/>
              <w:bidi w:val="0"/>
              <w:snapToGrid w:val="0"/>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0"/>
                <w:sz w:val="24"/>
              </w:rPr>
              <w:t>序号</w:t>
            </w:r>
          </w:p>
        </w:tc>
        <w:tc>
          <w:tcPr>
            <w:tcW w:w="568" w:type="dxa"/>
            <w:vMerge w:val="restart"/>
            <w:noWrap w:val="0"/>
            <w:vAlign w:val="center"/>
          </w:tcPr>
          <w:p w14:paraId="4D672333">
            <w:pPr>
              <w:widowControl/>
              <w:suppressAutoHyphens/>
              <w:bidi w:val="0"/>
              <w:snapToGrid w:val="0"/>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0"/>
                <w:sz w:val="24"/>
              </w:rPr>
              <w:t>项目编码</w:t>
            </w:r>
          </w:p>
        </w:tc>
        <w:tc>
          <w:tcPr>
            <w:tcW w:w="750" w:type="dxa"/>
            <w:vMerge w:val="restart"/>
            <w:noWrap w:val="0"/>
            <w:vAlign w:val="center"/>
          </w:tcPr>
          <w:p w14:paraId="64531D02">
            <w:pPr>
              <w:widowControl/>
              <w:suppressAutoHyphens/>
              <w:bidi w:val="0"/>
              <w:snapToGrid w:val="0"/>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0"/>
                <w:sz w:val="24"/>
              </w:rPr>
              <w:t>项目名称</w:t>
            </w:r>
          </w:p>
        </w:tc>
        <w:tc>
          <w:tcPr>
            <w:tcW w:w="2430" w:type="dxa"/>
            <w:vMerge w:val="restart"/>
            <w:noWrap w:val="0"/>
            <w:vAlign w:val="center"/>
          </w:tcPr>
          <w:p w14:paraId="5A7C2560">
            <w:pPr>
              <w:widowControl/>
              <w:suppressAutoHyphens/>
              <w:bidi w:val="0"/>
              <w:snapToGrid w:val="0"/>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0"/>
                <w:sz w:val="24"/>
              </w:rPr>
              <w:t>项目内涵</w:t>
            </w:r>
          </w:p>
        </w:tc>
        <w:tc>
          <w:tcPr>
            <w:tcW w:w="420" w:type="dxa"/>
            <w:vMerge w:val="restart"/>
            <w:noWrap w:val="0"/>
            <w:vAlign w:val="center"/>
          </w:tcPr>
          <w:p w14:paraId="3EA9FFBA">
            <w:pPr>
              <w:widowControl/>
              <w:suppressAutoHyphens/>
              <w:bidi w:val="0"/>
              <w:snapToGrid w:val="0"/>
              <w:jc w:val="center"/>
              <w:textAlignment w:val="center"/>
              <w:rPr>
                <w:rFonts w:hint="eastAsia" w:ascii="仿宋" w:hAnsi="仿宋" w:eastAsia="仿宋" w:cs="仿宋"/>
                <w:b/>
                <w:bCs/>
                <w:kern w:val="0"/>
                <w:sz w:val="24"/>
              </w:rPr>
            </w:pPr>
            <w:r>
              <w:rPr>
                <w:rFonts w:hint="eastAsia" w:ascii="仿宋" w:hAnsi="仿宋" w:eastAsia="仿宋" w:cs="仿宋"/>
                <w:b/>
                <w:bCs/>
                <w:kern w:val="0"/>
                <w:sz w:val="24"/>
              </w:rPr>
              <w:t>除外</w:t>
            </w:r>
          </w:p>
          <w:p w14:paraId="4B3A7018">
            <w:pPr>
              <w:widowControl/>
              <w:suppressAutoHyphens/>
              <w:bidi w:val="0"/>
              <w:snapToGrid w:val="0"/>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0"/>
                <w:sz w:val="24"/>
              </w:rPr>
              <w:t>内容</w:t>
            </w:r>
          </w:p>
        </w:tc>
        <w:tc>
          <w:tcPr>
            <w:tcW w:w="465" w:type="dxa"/>
            <w:vMerge w:val="restart"/>
            <w:noWrap w:val="0"/>
            <w:vAlign w:val="center"/>
          </w:tcPr>
          <w:p w14:paraId="4B0B21C1">
            <w:pPr>
              <w:widowControl/>
              <w:suppressAutoHyphens/>
              <w:bidi w:val="0"/>
              <w:snapToGrid w:val="0"/>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0"/>
                <w:sz w:val="24"/>
              </w:rPr>
              <w:t>计价单位</w:t>
            </w:r>
          </w:p>
        </w:tc>
        <w:tc>
          <w:tcPr>
            <w:tcW w:w="1050" w:type="dxa"/>
            <w:gridSpan w:val="2"/>
            <w:noWrap w:val="0"/>
            <w:vAlign w:val="center"/>
          </w:tcPr>
          <w:p w14:paraId="343B1551">
            <w:pPr>
              <w:widowControl/>
              <w:tabs>
                <w:tab w:val="left" w:pos="568"/>
              </w:tabs>
              <w:suppressAutoHyphens/>
              <w:bidi w:val="0"/>
              <w:snapToGrid w:val="0"/>
              <w:jc w:val="center"/>
              <w:textAlignment w:val="center"/>
              <w:rPr>
                <w:rFonts w:hint="eastAsia" w:ascii="仿宋" w:hAnsi="仿宋" w:eastAsia="仿宋" w:cs="仿宋"/>
                <w:b/>
                <w:bCs/>
                <w:sz w:val="24"/>
              </w:rPr>
            </w:pPr>
            <w:r>
              <w:rPr>
                <w:rFonts w:hint="eastAsia" w:ascii="仿宋" w:hAnsi="仿宋" w:eastAsia="仿宋" w:cs="仿宋"/>
                <w:b/>
                <w:bCs/>
                <w:sz w:val="24"/>
              </w:rPr>
              <w:t>三级医疗机构价格（元）</w:t>
            </w:r>
          </w:p>
        </w:tc>
        <w:tc>
          <w:tcPr>
            <w:tcW w:w="1050" w:type="dxa"/>
            <w:gridSpan w:val="2"/>
            <w:noWrap w:val="0"/>
            <w:vAlign w:val="center"/>
          </w:tcPr>
          <w:p w14:paraId="6B298711">
            <w:pPr>
              <w:widowControl/>
              <w:suppressAutoHyphens/>
              <w:bidi w:val="0"/>
              <w:snapToGrid w:val="0"/>
              <w:jc w:val="center"/>
              <w:textAlignment w:val="center"/>
              <w:rPr>
                <w:rFonts w:hint="eastAsia" w:ascii="仿宋" w:hAnsi="仿宋" w:eastAsia="仿宋" w:cs="仿宋"/>
                <w:b/>
                <w:bCs/>
                <w:kern w:val="0"/>
                <w:sz w:val="24"/>
              </w:rPr>
            </w:pPr>
            <w:r>
              <w:rPr>
                <w:rFonts w:hint="eastAsia" w:ascii="仿宋" w:hAnsi="仿宋" w:eastAsia="仿宋" w:cs="仿宋"/>
                <w:b/>
                <w:bCs/>
                <w:kern w:val="0"/>
                <w:sz w:val="24"/>
              </w:rPr>
              <w:t>二级医疗机构价格（元）</w:t>
            </w:r>
          </w:p>
        </w:tc>
        <w:tc>
          <w:tcPr>
            <w:tcW w:w="855" w:type="dxa"/>
            <w:vMerge w:val="restart"/>
            <w:noWrap w:val="0"/>
            <w:vAlign w:val="center"/>
          </w:tcPr>
          <w:p w14:paraId="310A53B6">
            <w:pPr>
              <w:widowControl/>
              <w:suppressAutoHyphens/>
              <w:bidi w:val="0"/>
              <w:snapToGrid w:val="0"/>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w w:val="75"/>
                <w:kern w:val="0"/>
                <w:sz w:val="24"/>
              </w:rPr>
              <w:t>一级及以下医疗机构价格（元）</w:t>
            </w:r>
          </w:p>
        </w:tc>
        <w:tc>
          <w:tcPr>
            <w:tcW w:w="1005" w:type="dxa"/>
            <w:vMerge w:val="restart"/>
            <w:noWrap w:val="0"/>
            <w:vAlign w:val="center"/>
          </w:tcPr>
          <w:p w14:paraId="41A34FCA">
            <w:pPr>
              <w:widowControl/>
              <w:suppressAutoHyphens/>
              <w:bidi w:val="0"/>
              <w:snapToGrid w:val="0"/>
              <w:jc w:val="center"/>
              <w:textAlignment w:val="center"/>
              <w:rPr>
                <w:rFonts w:hint="eastAsia" w:ascii="仿宋" w:hAnsi="仿宋" w:eastAsia="仿宋" w:cs="仿宋"/>
                <w:b/>
                <w:bCs/>
                <w:kern w:val="0"/>
                <w:sz w:val="24"/>
              </w:rPr>
            </w:pPr>
            <w:r>
              <w:rPr>
                <w:rFonts w:hint="eastAsia" w:ascii="仿宋" w:hAnsi="仿宋" w:eastAsia="仿宋" w:cs="仿宋"/>
                <w:b/>
                <w:bCs/>
                <w:kern w:val="0"/>
                <w:sz w:val="24"/>
              </w:rPr>
              <w:t>计价</w:t>
            </w:r>
          </w:p>
          <w:p w14:paraId="6436380E">
            <w:pPr>
              <w:widowControl/>
              <w:suppressAutoHyphens/>
              <w:bidi w:val="0"/>
              <w:snapToGrid w:val="0"/>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0"/>
                <w:sz w:val="24"/>
              </w:rPr>
              <w:t>说明</w:t>
            </w:r>
          </w:p>
        </w:tc>
        <w:tc>
          <w:tcPr>
            <w:tcW w:w="431" w:type="dxa"/>
            <w:vMerge w:val="restart"/>
            <w:noWrap w:val="0"/>
            <w:vAlign w:val="center"/>
          </w:tcPr>
          <w:p w14:paraId="6A81B367">
            <w:pPr>
              <w:widowControl/>
              <w:suppressAutoHyphens/>
              <w:bidi w:val="0"/>
              <w:snapToGrid w:val="0"/>
              <w:jc w:val="center"/>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0"/>
                <w:sz w:val="24"/>
              </w:rPr>
              <w:t>支付分类</w:t>
            </w:r>
          </w:p>
        </w:tc>
      </w:tr>
      <w:tr w14:paraId="230C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457" w:type="dxa"/>
            <w:vMerge w:val="continue"/>
            <w:noWrap w:val="0"/>
            <w:vAlign w:val="center"/>
          </w:tcPr>
          <w:p w14:paraId="3E5B11A2">
            <w:pPr>
              <w:widowControl/>
              <w:tabs>
                <w:tab w:val="left" w:pos="568"/>
              </w:tabs>
              <w:suppressAutoHyphens/>
              <w:bidi w:val="0"/>
              <w:snapToGrid w:val="0"/>
              <w:jc w:val="center"/>
              <w:textAlignment w:val="center"/>
              <w:rPr>
                <w:rFonts w:cs="Times New Roman"/>
              </w:rPr>
            </w:pPr>
          </w:p>
        </w:tc>
        <w:tc>
          <w:tcPr>
            <w:tcW w:w="568" w:type="dxa"/>
            <w:vMerge w:val="continue"/>
            <w:noWrap w:val="0"/>
            <w:vAlign w:val="center"/>
          </w:tcPr>
          <w:p w14:paraId="4EEC3714">
            <w:pPr>
              <w:widowControl/>
              <w:tabs>
                <w:tab w:val="left" w:pos="568"/>
              </w:tabs>
              <w:suppressAutoHyphens/>
              <w:bidi w:val="0"/>
              <w:snapToGrid w:val="0"/>
              <w:jc w:val="center"/>
              <w:textAlignment w:val="center"/>
              <w:rPr>
                <w:rFonts w:cs="Times New Roman"/>
              </w:rPr>
            </w:pPr>
          </w:p>
        </w:tc>
        <w:tc>
          <w:tcPr>
            <w:tcW w:w="750" w:type="dxa"/>
            <w:vMerge w:val="continue"/>
            <w:noWrap w:val="0"/>
            <w:vAlign w:val="center"/>
          </w:tcPr>
          <w:p w14:paraId="1D158727">
            <w:pPr>
              <w:widowControl/>
              <w:tabs>
                <w:tab w:val="left" w:pos="568"/>
              </w:tabs>
              <w:suppressAutoHyphens/>
              <w:bidi w:val="0"/>
              <w:snapToGrid w:val="0"/>
              <w:jc w:val="center"/>
              <w:textAlignment w:val="center"/>
              <w:rPr>
                <w:rFonts w:cs="Times New Roman"/>
              </w:rPr>
            </w:pPr>
          </w:p>
        </w:tc>
        <w:tc>
          <w:tcPr>
            <w:tcW w:w="2430" w:type="dxa"/>
            <w:vMerge w:val="continue"/>
            <w:noWrap w:val="0"/>
            <w:vAlign w:val="center"/>
          </w:tcPr>
          <w:p w14:paraId="7AA59F97">
            <w:pPr>
              <w:widowControl/>
              <w:tabs>
                <w:tab w:val="left" w:pos="568"/>
              </w:tabs>
              <w:suppressAutoHyphens/>
              <w:bidi w:val="0"/>
              <w:snapToGrid w:val="0"/>
              <w:jc w:val="center"/>
              <w:textAlignment w:val="center"/>
              <w:rPr>
                <w:rFonts w:cs="Times New Roman"/>
              </w:rPr>
            </w:pPr>
          </w:p>
        </w:tc>
        <w:tc>
          <w:tcPr>
            <w:tcW w:w="420" w:type="dxa"/>
            <w:vMerge w:val="continue"/>
            <w:noWrap w:val="0"/>
            <w:vAlign w:val="center"/>
          </w:tcPr>
          <w:p w14:paraId="0315F9CD">
            <w:pPr>
              <w:widowControl/>
              <w:tabs>
                <w:tab w:val="left" w:pos="568"/>
              </w:tabs>
              <w:suppressAutoHyphens/>
              <w:bidi w:val="0"/>
              <w:snapToGrid w:val="0"/>
              <w:jc w:val="center"/>
              <w:textAlignment w:val="center"/>
              <w:rPr>
                <w:rFonts w:cs="Times New Roman"/>
              </w:rPr>
            </w:pPr>
          </w:p>
        </w:tc>
        <w:tc>
          <w:tcPr>
            <w:tcW w:w="465" w:type="dxa"/>
            <w:vMerge w:val="continue"/>
            <w:noWrap w:val="0"/>
            <w:vAlign w:val="center"/>
          </w:tcPr>
          <w:p w14:paraId="2C267268">
            <w:pPr>
              <w:widowControl/>
              <w:tabs>
                <w:tab w:val="left" w:pos="568"/>
              </w:tabs>
              <w:suppressAutoHyphens/>
              <w:bidi w:val="0"/>
              <w:snapToGrid w:val="0"/>
              <w:jc w:val="center"/>
              <w:textAlignment w:val="center"/>
              <w:rPr>
                <w:rFonts w:cs="Times New Roman"/>
              </w:rPr>
            </w:pPr>
          </w:p>
        </w:tc>
        <w:tc>
          <w:tcPr>
            <w:tcW w:w="510" w:type="dxa"/>
            <w:noWrap w:val="0"/>
            <w:vAlign w:val="center"/>
          </w:tcPr>
          <w:p w14:paraId="372B853D">
            <w:pPr>
              <w:widowControl/>
              <w:tabs>
                <w:tab w:val="left" w:pos="568"/>
              </w:tabs>
              <w:suppressAutoHyphens/>
              <w:bidi w:val="0"/>
              <w:snapToGrid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市级</w:t>
            </w:r>
          </w:p>
        </w:tc>
        <w:tc>
          <w:tcPr>
            <w:tcW w:w="540" w:type="dxa"/>
            <w:noWrap w:val="0"/>
            <w:vAlign w:val="center"/>
          </w:tcPr>
          <w:p w14:paraId="31DAF42C">
            <w:pPr>
              <w:widowControl/>
              <w:tabs>
                <w:tab w:val="left" w:pos="568"/>
              </w:tabs>
              <w:suppressAutoHyphens/>
              <w:bidi w:val="0"/>
              <w:snapToGrid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县级</w:t>
            </w:r>
          </w:p>
        </w:tc>
        <w:tc>
          <w:tcPr>
            <w:tcW w:w="525" w:type="dxa"/>
            <w:noWrap w:val="0"/>
            <w:vAlign w:val="center"/>
          </w:tcPr>
          <w:p w14:paraId="611F82E4">
            <w:pPr>
              <w:widowControl/>
              <w:tabs>
                <w:tab w:val="left" w:pos="568"/>
              </w:tabs>
              <w:suppressAutoHyphens/>
              <w:bidi w:val="0"/>
              <w:snapToGrid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市级</w:t>
            </w:r>
          </w:p>
        </w:tc>
        <w:tc>
          <w:tcPr>
            <w:tcW w:w="525" w:type="dxa"/>
            <w:noWrap w:val="0"/>
            <w:vAlign w:val="center"/>
          </w:tcPr>
          <w:p w14:paraId="6BC0F667">
            <w:pPr>
              <w:widowControl/>
              <w:tabs>
                <w:tab w:val="left" w:pos="568"/>
              </w:tabs>
              <w:suppressAutoHyphens/>
              <w:bidi w:val="0"/>
              <w:snapToGrid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县级</w:t>
            </w:r>
          </w:p>
        </w:tc>
        <w:tc>
          <w:tcPr>
            <w:tcW w:w="855" w:type="dxa"/>
            <w:vMerge w:val="continue"/>
            <w:noWrap w:val="0"/>
            <w:vAlign w:val="center"/>
          </w:tcPr>
          <w:p w14:paraId="10855D2E">
            <w:pPr>
              <w:widowControl/>
              <w:tabs>
                <w:tab w:val="left" w:pos="568"/>
              </w:tabs>
              <w:suppressAutoHyphens/>
              <w:bidi w:val="0"/>
              <w:snapToGrid w:val="0"/>
              <w:jc w:val="center"/>
              <w:textAlignment w:val="center"/>
              <w:rPr>
                <w:rFonts w:cs="Times New Roman"/>
              </w:rPr>
            </w:pPr>
          </w:p>
        </w:tc>
        <w:tc>
          <w:tcPr>
            <w:tcW w:w="1005" w:type="dxa"/>
            <w:vMerge w:val="continue"/>
            <w:noWrap w:val="0"/>
            <w:vAlign w:val="center"/>
          </w:tcPr>
          <w:p w14:paraId="2FC0DB87">
            <w:pPr>
              <w:widowControl/>
              <w:tabs>
                <w:tab w:val="left" w:pos="568"/>
              </w:tabs>
              <w:suppressAutoHyphens/>
              <w:bidi w:val="0"/>
              <w:snapToGrid w:val="0"/>
              <w:jc w:val="center"/>
              <w:textAlignment w:val="center"/>
              <w:rPr>
                <w:rFonts w:cs="Times New Roman"/>
              </w:rPr>
            </w:pPr>
          </w:p>
        </w:tc>
        <w:tc>
          <w:tcPr>
            <w:tcW w:w="431" w:type="dxa"/>
            <w:vMerge w:val="continue"/>
            <w:noWrap w:val="0"/>
            <w:vAlign w:val="center"/>
          </w:tcPr>
          <w:p w14:paraId="029852F4">
            <w:pPr>
              <w:widowControl/>
              <w:tabs>
                <w:tab w:val="left" w:pos="568"/>
              </w:tabs>
              <w:suppressAutoHyphens/>
              <w:bidi w:val="0"/>
              <w:snapToGrid w:val="0"/>
              <w:jc w:val="center"/>
              <w:textAlignment w:val="center"/>
              <w:rPr>
                <w:rFonts w:cs="Times New Roman"/>
              </w:rPr>
            </w:pPr>
          </w:p>
        </w:tc>
      </w:tr>
      <w:tr w14:paraId="7A7F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457" w:type="dxa"/>
            <w:noWrap w:val="0"/>
            <w:vAlign w:val="center"/>
          </w:tcPr>
          <w:p w14:paraId="42E07783">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p>
        </w:tc>
        <w:tc>
          <w:tcPr>
            <w:tcW w:w="568" w:type="dxa"/>
            <w:noWrap w:val="0"/>
            <w:vAlign w:val="center"/>
          </w:tcPr>
          <w:p w14:paraId="29A0BCC4">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AAAB0001</w:t>
            </w:r>
          </w:p>
        </w:tc>
        <w:tc>
          <w:tcPr>
            <w:tcW w:w="750" w:type="dxa"/>
            <w:noWrap w:val="0"/>
            <w:vAlign w:val="center"/>
          </w:tcPr>
          <w:p w14:paraId="56CED470">
            <w:pPr>
              <w:widowControl/>
              <w:suppressAutoHyphens/>
              <w:bidi w:val="0"/>
              <w:snapToGrid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急诊诊察费</w:t>
            </w:r>
          </w:p>
        </w:tc>
        <w:tc>
          <w:tcPr>
            <w:tcW w:w="2430" w:type="dxa"/>
            <w:noWrap w:val="0"/>
            <w:vAlign w:val="center"/>
          </w:tcPr>
          <w:p w14:paraId="67E972A0">
            <w:pPr>
              <w:widowControl/>
              <w:suppressAutoHyphens/>
              <w:bidi w:val="0"/>
              <w:snapToGrid w:val="0"/>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指各级急诊医师在护士配合下于急诊区域24小时提供的急诊诊疗服务。挂号，初建病历（电子或纸质病历），核实就诊者信息，就诊病历传送，病案管理。急诊医师询问病情，听取主诉，病史采集，向患者或家属告知，进行一般物理检查，书写病历，开具检查单，提供治疗方案（治疗单、处方）等服务，记录病人生命体征。必要时开通绿色通道。</w:t>
            </w:r>
          </w:p>
        </w:tc>
        <w:tc>
          <w:tcPr>
            <w:tcW w:w="420" w:type="dxa"/>
            <w:noWrap w:val="0"/>
            <w:vAlign w:val="center"/>
          </w:tcPr>
          <w:p w14:paraId="78F341B4">
            <w:pPr>
              <w:suppressAutoHyphens/>
              <w:bidi w:val="0"/>
              <w:snapToGrid w:val="0"/>
              <w:rPr>
                <w:rFonts w:hint="eastAsia" w:ascii="仿宋" w:hAnsi="仿宋" w:eastAsia="仿宋" w:cs="仿宋"/>
                <w:kern w:val="2"/>
                <w:sz w:val="24"/>
                <w:szCs w:val="24"/>
                <w:lang w:val="en-US" w:eastAsia="zh-CN" w:bidi="ar-SA"/>
              </w:rPr>
            </w:pPr>
          </w:p>
        </w:tc>
        <w:tc>
          <w:tcPr>
            <w:tcW w:w="465" w:type="dxa"/>
            <w:noWrap w:val="0"/>
            <w:vAlign w:val="center"/>
          </w:tcPr>
          <w:p w14:paraId="5A4A91AA">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rPr>
              <w:t>次</w:t>
            </w:r>
          </w:p>
        </w:tc>
        <w:tc>
          <w:tcPr>
            <w:tcW w:w="510" w:type="dxa"/>
            <w:noWrap w:val="0"/>
            <w:vAlign w:val="center"/>
          </w:tcPr>
          <w:p w14:paraId="3B3154F1">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lang w:val="en-US" w:eastAsia="zh-CN"/>
              </w:rPr>
              <w:t>19</w:t>
            </w:r>
          </w:p>
        </w:tc>
        <w:tc>
          <w:tcPr>
            <w:tcW w:w="540" w:type="dxa"/>
            <w:noWrap w:val="0"/>
            <w:vAlign w:val="center"/>
          </w:tcPr>
          <w:p w14:paraId="6C827491">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18</w:t>
            </w:r>
          </w:p>
        </w:tc>
        <w:tc>
          <w:tcPr>
            <w:tcW w:w="525" w:type="dxa"/>
            <w:noWrap w:val="0"/>
            <w:vAlign w:val="center"/>
          </w:tcPr>
          <w:p w14:paraId="50836009">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17</w:t>
            </w:r>
          </w:p>
        </w:tc>
        <w:tc>
          <w:tcPr>
            <w:tcW w:w="525" w:type="dxa"/>
            <w:noWrap w:val="0"/>
            <w:vAlign w:val="center"/>
          </w:tcPr>
          <w:p w14:paraId="32B60CE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16</w:t>
            </w:r>
          </w:p>
        </w:tc>
        <w:tc>
          <w:tcPr>
            <w:tcW w:w="855" w:type="dxa"/>
            <w:noWrap w:val="0"/>
            <w:vAlign w:val="center"/>
          </w:tcPr>
          <w:p w14:paraId="167BB388">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15</w:t>
            </w:r>
          </w:p>
        </w:tc>
        <w:tc>
          <w:tcPr>
            <w:tcW w:w="1005" w:type="dxa"/>
            <w:noWrap w:val="0"/>
            <w:vAlign w:val="center"/>
          </w:tcPr>
          <w:p w14:paraId="115F4D6E">
            <w:pPr>
              <w:widowControl/>
              <w:suppressAutoHyphens/>
              <w:bidi w:val="0"/>
              <w:snapToGrid w:val="0"/>
              <w:jc w:val="left"/>
              <w:textAlignment w:val="center"/>
              <w:rPr>
                <w:rFonts w:hint="eastAsia" w:ascii="仿宋" w:hAnsi="仿宋" w:eastAsia="仿宋" w:cs="仿宋"/>
                <w:kern w:val="2"/>
                <w:sz w:val="24"/>
                <w:szCs w:val="24"/>
                <w:lang w:val="en-US" w:eastAsia="zh-CN" w:bidi="ar-SA"/>
              </w:rPr>
            </w:pPr>
          </w:p>
        </w:tc>
        <w:tc>
          <w:tcPr>
            <w:tcW w:w="431" w:type="dxa"/>
            <w:noWrap w:val="0"/>
            <w:vAlign w:val="center"/>
          </w:tcPr>
          <w:p w14:paraId="55902B02">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rPr>
              <w:t>3</w:t>
            </w:r>
          </w:p>
        </w:tc>
      </w:tr>
      <w:tr w14:paraId="56AF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457" w:type="dxa"/>
            <w:noWrap w:val="0"/>
            <w:vAlign w:val="center"/>
          </w:tcPr>
          <w:p w14:paraId="05FCD646">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rPr>
              <w:t>2</w:t>
            </w:r>
          </w:p>
        </w:tc>
        <w:tc>
          <w:tcPr>
            <w:tcW w:w="568" w:type="dxa"/>
            <w:noWrap w:val="0"/>
            <w:vAlign w:val="center"/>
          </w:tcPr>
          <w:p w14:paraId="44103354">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Style w:val="33"/>
                <w:rFonts w:hint="eastAsia" w:ascii="仿宋" w:hAnsi="仿宋" w:eastAsia="仿宋" w:cs="仿宋"/>
                <w:sz w:val="24"/>
                <w:szCs w:val="24"/>
                <w:lang w:val="en-US" w:eastAsia="zh-CN" w:bidi="ar"/>
              </w:rPr>
              <w:t>AAAH0001</w:t>
            </w:r>
          </w:p>
        </w:tc>
        <w:tc>
          <w:tcPr>
            <w:tcW w:w="750" w:type="dxa"/>
            <w:noWrap w:val="0"/>
            <w:vAlign w:val="center"/>
          </w:tcPr>
          <w:p w14:paraId="0025C6E0">
            <w:pPr>
              <w:widowControl/>
              <w:suppressAutoHyphens/>
              <w:bidi w:val="0"/>
              <w:snapToGrid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急诊中医辨证论治</w:t>
            </w:r>
          </w:p>
        </w:tc>
        <w:tc>
          <w:tcPr>
            <w:tcW w:w="2430" w:type="dxa"/>
            <w:noWrap w:val="0"/>
            <w:vAlign w:val="center"/>
          </w:tcPr>
          <w:p w14:paraId="27462125">
            <w:pPr>
              <w:widowControl/>
              <w:suppressAutoHyphens/>
              <w:bidi w:val="0"/>
              <w:snapToGrid w:val="0"/>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指由各级中医、中西医结合医务人员提供的24小时急诊急救中医诊疗服务。通过望闻问切收集中医四诊信息，依据中医理论进行辨证，分析病因、病位、病性及病机转化，作出证候诊断，提出治疗方案。含挂号费。</w:t>
            </w:r>
          </w:p>
        </w:tc>
        <w:tc>
          <w:tcPr>
            <w:tcW w:w="420" w:type="dxa"/>
            <w:noWrap w:val="0"/>
            <w:vAlign w:val="center"/>
          </w:tcPr>
          <w:p w14:paraId="00580696">
            <w:pPr>
              <w:suppressAutoHyphens/>
              <w:bidi w:val="0"/>
              <w:snapToGrid w:val="0"/>
              <w:rPr>
                <w:rFonts w:hint="eastAsia" w:ascii="仿宋" w:hAnsi="仿宋" w:eastAsia="仿宋" w:cs="仿宋"/>
                <w:kern w:val="2"/>
                <w:sz w:val="24"/>
                <w:szCs w:val="24"/>
                <w:lang w:val="en-US" w:eastAsia="zh-CN" w:bidi="ar-SA"/>
              </w:rPr>
            </w:pPr>
          </w:p>
        </w:tc>
        <w:tc>
          <w:tcPr>
            <w:tcW w:w="465" w:type="dxa"/>
            <w:noWrap w:val="0"/>
            <w:vAlign w:val="center"/>
          </w:tcPr>
          <w:p w14:paraId="2BEC663A">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次</w:t>
            </w:r>
          </w:p>
        </w:tc>
        <w:tc>
          <w:tcPr>
            <w:tcW w:w="510" w:type="dxa"/>
            <w:noWrap w:val="0"/>
            <w:vAlign w:val="center"/>
          </w:tcPr>
          <w:p w14:paraId="4CCEA680">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lang w:val="en-US" w:eastAsia="zh-CN"/>
              </w:rPr>
              <w:t>22</w:t>
            </w:r>
          </w:p>
        </w:tc>
        <w:tc>
          <w:tcPr>
            <w:tcW w:w="540" w:type="dxa"/>
            <w:noWrap w:val="0"/>
            <w:vAlign w:val="center"/>
          </w:tcPr>
          <w:p w14:paraId="3BB530AB">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21</w:t>
            </w:r>
          </w:p>
        </w:tc>
        <w:tc>
          <w:tcPr>
            <w:tcW w:w="525" w:type="dxa"/>
            <w:noWrap w:val="0"/>
            <w:vAlign w:val="center"/>
          </w:tcPr>
          <w:p w14:paraId="44A28011">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20</w:t>
            </w:r>
          </w:p>
        </w:tc>
        <w:tc>
          <w:tcPr>
            <w:tcW w:w="525" w:type="dxa"/>
            <w:noWrap w:val="0"/>
            <w:vAlign w:val="center"/>
          </w:tcPr>
          <w:p w14:paraId="2575C23F">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19</w:t>
            </w:r>
          </w:p>
        </w:tc>
        <w:tc>
          <w:tcPr>
            <w:tcW w:w="855" w:type="dxa"/>
            <w:noWrap w:val="0"/>
            <w:vAlign w:val="center"/>
          </w:tcPr>
          <w:p w14:paraId="03A65B80">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18</w:t>
            </w:r>
          </w:p>
        </w:tc>
        <w:tc>
          <w:tcPr>
            <w:tcW w:w="1005" w:type="dxa"/>
            <w:noWrap w:val="0"/>
            <w:vAlign w:val="center"/>
          </w:tcPr>
          <w:p w14:paraId="6AFF1F66">
            <w:pPr>
              <w:widowControl/>
              <w:suppressAutoHyphens/>
              <w:bidi w:val="0"/>
              <w:snapToGrid w:val="0"/>
              <w:jc w:val="left"/>
              <w:textAlignment w:val="center"/>
              <w:rPr>
                <w:rFonts w:hint="eastAsia" w:ascii="仿宋" w:hAnsi="仿宋" w:eastAsia="仿宋" w:cs="仿宋"/>
                <w:kern w:val="2"/>
                <w:sz w:val="24"/>
                <w:szCs w:val="24"/>
                <w:lang w:val="en-US" w:eastAsia="zh-CN" w:bidi="ar-SA"/>
              </w:rPr>
            </w:pPr>
          </w:p>
        </w:tc>
        <w:tc>
          <w:tcPr>
            <w:tcW w:w="431" w:type="dxa"/>
            <w:noWrap w:val="0"/>
            <w:vAlign w:val="center"/>
          </w:tcPr>
          <w:p w14:paraId="26E97233">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p>
        </w:tc>
      </w:tr>
      <w:tr w14:paraId="3098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457" w:type="dxa"/>
            <w:noWrap w:val="0"/>
            <w:vAlign w:val="center"/>
          </w:tcPr>
          <w:p w14:paraId="0436331E">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p>
        </w:tc>
        <w:tc>
          <w:tcPr>
            <w:tcW w:w="568" w:type="dxa"/>
            <w:noWrap w:val="0"/>
            <w:vAlign w:val="center"/>
          </w:tcPr>
          <w:p w14:paraId="7AFD8FFF">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AAAA0003</w:t>
            </w:r>
          </w:p>
        </w:tc>
        <w:tc>
          <w:tcPr>
            <w:tcW w:w="750" w:type="dxa"/>
            <w:noWrap w:val="0"/>
            <w:vAlign w:val="center"/>
          </w:tcPr>
          <w:p w14:paraId="5D238B86">
            <w:pPr>
              <w:widowControl/>
              <w:suppressAutoHyphens/>
              <w:bidi w:val="0"/>
              <w:snapToGrid w:val="0"/>
              <w:jc w:val="left"/>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主任医师门诊诊察费</w:t>
            </w:r>
          </w:p>
        </w:tc>
        <w:tc>
          <w:tcPr>
            <w:tcW w:w="2430" w:type="dxa"/>
            <w:noWrap w:val="0"/>
            <w:vAlign w:val="center"/>
          </w:tcPr>
          <w:p w14:paraId="2ECCB28B">
            <w:pPr>
              <w:widowControl/>
              <w:suppressAutoHyphens/>
              <w:bidi w:val="0"/>
              <w:snapToGrid w:val="0"/>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指由主任医师在专家门诊提供技术劳务的诊疗服务。挂号，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420" w:type="dxa"/>
            <w:noWrap w:val="0"/>
            <w:vAlign w:val="center"/>
          </w:tcPr>
          <w:p w14:paraId="757CC31F">
            <w:pPr>
              <w:suppressAutoHyphens/>
              <w:bidi w:val="0"/>
              <w:snapToGrid w:val="0"/>
              <w:rPr>
                <w:rFonts w:hint="eastAsia" w:ascii="仿宋" w:hAnsi="仿宋" w:eastAsia="仿宋" w:cs="仿宋"/>
                <w:kern w:val="2"/>
                <w:sz w:val="24"/>
                <w:szCs w:val="24"/>
                <w:lang w:val="en-US" w:eastAsia="zh-CN" w:bidi="ar-SA"/>
              </w:rPr>
            </w:pPr>
          </w:p>
        </w:tc>
        <w:tc>
          <w:tcPr>
            <w:tcW w:w="465" w:type="dxa"/>
            <w:noWrap w:val="0"/>
            <w:vAlign w:val="center"/>
          </w:tcPr>
          <w:p w14:paraId="2534F98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次</w:t>
            </w:r>
          </w:p>
        </w:tc>
        <w:tc>
          <w:tcPr>
            <w:tcW w:w="510" w:type="dxa"/>
            <w:noWrap w:val="0"/>
            <w:vAlign w:val="center"/>
          </w:tcPr>
          <w:p w14:paraId="48BDAA38">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24</w:t>
            </w:r>
          </w:p>
        </w:tc>
        <w:tc>
          <w:tcPr>
            <w:tcW w:w="540" w:type="dxa"/>
            <w:noWrap w:val="0"/>
            <w:vAlign w:val="center"/>
          </w:tcPr>
          <w:p w14:paraId="0642F5ED">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23</w:t>
            </w:r>
          </w:p>
        </w:tc>
        <w:tc>
          <w:tcPr>
            <w:tcW w:w="525" w:type="dxa"/>
            <w:noWrap w:val="0"/>
            <w:vAlign w:val="center"/>
          </w:tcPr>
          <w:p w14:paraId="6557B468">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22</w:t>
            </w:r>
          </w:p>
        </w:tc>
        <w:tc>
          <w:tcPr>
            <w:tcW w:w="525" w:type="dxa"/>
            <w:noWrap w:val="0"/>
            <w:vAlign w:val="center"/>
          </w:tcPr>
          <w:p w14:paraId="5F88FF1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20</w:t>
            </w:r>
          </w:p>
        </w:tc>
        <w:tc>
          <w:tcPr>
            <w:tcW w:w="855" w:type="dxa"/>
            <w:noWrap w:val="0"/>
            <w:vAlign w:val="center"/>
          </w:tcPr>
          <w:p w14:paraId="6FC6DD02">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19</w:t>
            </w:r>
          </w:p>
        </w:tc>
        <w:tc>
          <w:tcPr>
            <w:tcW w:w="1005" w:type="dxa"/>
            <w:noWrap w:val="0"/>
            <w:vAlign w:val="center"/>
          </w:tcPr>
          <w:p w14:paraId="3A9FBA48">
            <w:pPr>
              <w:widowControl/>
              <w:suppressAutoHyphens/>
              <w:bidi w:val="0"/>
              <w:snapToGrid w:val="0"/>
              <w:jc w:val="left"/>
              <w:textAlignment w:val="center"/>
              <w:rPr>
                <w:rFonts w:hint="eastAsia" w:ascii="仿宋" w:hAnsi="仿宋" w:eastAsia="仿宋" w:cs="仿宋"/>
                <w:kern w:val="0"/>
                <w:sz w:val="24"/>
                <w:szCs w:val="24"/>
                <w:lang w:val="en-US" w:eastAsia="zh-CN" w:bidi="ar-SA"/>
              </w:rPr>
            </w:pPr>
          </w:p>
        </w:tc>
        <w:tc>
          <w:tcPr>
            <w:tcW w:w="431" w:type="dxa"/>
            <w:noWrap w:val="0"/>
            <w:vAlign w:val="center"/>
          </w:tcPr>
          <w:p w14:paraId="2548769D">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p>
        </w:tc>
      </w:tr>
      <w:tr w14:paraId="15B3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457" w:type="dxa"/>
            <w:noWrap w:val="0"/>
            <w:vAlign w:val="center"/>
          </w:tcPr>
          <w:p w14:paraId="62524AF9">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4</w:t>
            </w:r>
          </w:p>
        </w:tc>
        <w:tc>
          <w:tcPr>
            <w:tcW w:w="568" w:type="dxa"/>
            <w:noWrap w:val="0"/>
            <w:vAlign w:val="center"/>
          </w:tcPr>
          <w:p w14:paraId="36DEA2F0">
            <w:pPr>
              <w:widowControl/>
              <w:suppressAutoHyphens/>
              <w:bidi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33"/>
                <w:rFonts w:hint="eastAsia" w:ascii="仿宋" w:hAnsi="仿宋" w:eastAsia="仿宋" w:cs="仿宋"/>
                <w:sz w:val="24"/>
                <w:szCs w:val="24"/>
                <w:lang w:val="en-US" w:eastAsia="zh-CN" w:bidi="ar"/>
              </w:rPr>
              <w:t>AAAG0003</w:t>
            </w:r>
          </w:p>
        </w:tc>
        <w:tc>
          <w:tcPr>
            <w:tcW w:w="750" w:type="dxa"/>
            <w:noWrap w:val="0"/>
            <w:vAlign w:val="center"/>
          </w:tcPr>
          <w:p w14:paraId="143FB7A6">
            <w:pPr>
              <w:widowControl/>
              <w:suppressAutoHyphens/>
              <w:bidi w:val="0"/>
              <w:snapToGrid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主任医师门诊中医辨证论治</w:t>
            </w:r>
          </w:p>
        </w:tc>
        <w:tc>
          <w:tcPr>
            <w:tcW w:w="2430" w:type="dxa"/>
            <w:noWrap w:val="0"/>
            <w:vAlign w:val="center"/>
          </w:tcPr>
          <w:p w14:paraId="5DA7A271">
            <w:pPr>
              <w:widowControl/>
              <w:suppressAutoHyphens/>
              <w:bidi w:val="0"/>
              <w:snapToGrid w:val="0"/>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由具有正高级职称的中医或中西医结合医师在中医专家门诊提供的诊疗服务。通过望闻问切收集中医四诊信息，依据中医理论进行辨证，分析病因、病位、病性及病机转化，作出证候诊断，提出治疗方案。含挂号费。</w:t>
            </w:r>
          </w:p>
        </w:tc>
        <w:tc>
          <w:tcPr>
            <w:tcW w:w="420" w:type="dxa"/>
            <w:noWrap w:val="0"/>
            <w:vAlign w:val="center"/>
          </w:tcPr>
          <w:p w14:paraId="0211B380">
            <w:pPr>
              <w:suppressAutoHyphens/>
              <w:bidi w:val="0"/>
              <w:snapToGrid w:val="0"/>
              <w:rPr>
                <w:rFonts w:hint="eastAsia" w:ascii="仿宋" w:hAnsi="仿宋" w:eastAsia="仿宋" w:cs="仿宋"/>
                <w:kern w:val="2"/>
                <w:sz w:val="24"/>
                <w:szCs w:val="24"/>
                <w:lang w:val="en-US" w:eastAsia="zh-CN" w:bidi="ar-SA"/>
              </w:rPr>
            </w:pPr>
          </w:p>
        </w:tc>
        <w:tc>
          <w:tcPr>
            <w:tcW w:w="465" w:type="dxa"/>
            <w:noWrap w:val="0"/>
            <w:vAlign w:val="center"/>
          </w:tcPr>
          <w:p w14:paraId="58159406">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次</w:t>
            </w:r>
          </w:p>
        </w:tc>
        <w:tc>
          <w:tcPr>
            <w:tcW w:w="510" w:type="dxa"/>
            <w:noWrap w:val="0"/>
            <w:vAlign w:val="center"/>
          </w:tcPr>
          <w:p w14:paraId="6C435192">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27</w:t>
            </w:r>
          </w:p>
        </w:tc>
        <w:tc>
          <w:tcPr>
            <w:tcW w:w="540" w:type="dxa"/>
            <w:noWrap w:val="0"/>
            <w:vAlign w:val="center"/>
          </w:tcPr>
          <w:p w14:paraId="6AD7715B">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26</w:t>
            </w:r>
          </w:p>
        </w:tc>
        <w:tc>
          <w:tcPr>
            <w:tcW w:w="525" w:type="dxa"/>
            <w:noWrap w:val="0"/>
            <w:vAlign w:val="center"/>
          </w:tcPr>
          <w:p w14:paraId="62DA3942">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24</w:t>
            </w:r>
          </w:p>
        </w:tc>
        <w:tc>
          <w:tcPr>
            <w:tcW w:w="525" w:type="dxa"/>
            <w:noWrap w:val="0"/>
            <w:vAlign w:val="center"/>
          </w:tcPr>
          <w:p w14:paraId="592357FD">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23</w:t>
            </w:r>
          </w:p>
        </w:tc>
        <w:tc>
          <w:tcPr>
            <w:tcW w:w="855" w:type="dxa"/>
            <w:noWrap w:val="0"/>
            <w:vAlign w:val="center"/>
          </w:tcPr>
          <w:p w14:paraId="5765FA9F">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22</w:t>
            </w:r>
          </w:p>
        </w:tc>
        <w:tc>
          <w:tcPr>
            <w:tcW w:w="1005" w:type="dxa"/>
            <w:noWrap w:val="0"/>
            <w:vAlign w:val="center"/>
          </w:tcPr>
          <w:p w14:paraId="117650C6">
            <w:pPr>
              <w:widowControl/>
              <w:suppressAutoHyphens/>
              <w:bidi w:val="0"/>
              <w:snapToGrid w:val="0"/>
              <w:jc w:val="left"/>
              <w:textAlignment w:val="center"/>
              <w:rPr>
                <w:rFonts w:hint="eastAsia" w:ascii="仿宋" w:hAnsi="仿宋" w:eastAsia="仿宋" w:cs="仿宋"/>
                <w:kern w:val="0"/>
                <w:sz w:val="24"/>
                <w:szCs w:val="24"/>
                <w:lang w:val="en-US" w:eastAsia="zh-CN" w:bidi="ar-SA"/>
              </w:rPr>
            </w:pPr>
          </w:p>
        </w:tc>
        <w:tc>
          <w:tcPr>
            <w:tcW w:w="431" w:type="dxa"/>
            <w:noWrap w:val="0"/>
            <w:vAlign w:val="center"/>
          </w:tcPr>
          <w:p w14:paraId="46C0F2B6">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p>
        </w:tc>
      </w:tr>
      <w:tr w14:paraId="4435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57" w:type="dxa"/>
            <w:noWrap w:val="0"/>
            <w:vAlign w:val="center"/>
          </w:tcPr>
          <w:p w14:paraId="4B94F611">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5</w:t>
            </w:r>
          </w:p>
        </w:tc>
        <w:tc>
          <w:tcPr>
            <w:tcW w:w="568" w:type="dxa"/>
            <w:noWrap w:val="0"/>
            <w:vAlign w:val="center"/>
          </w:tcPr>
          <w:p w14:paraId="6382206D">
            <w:pPr>
              <w:widowControl/>
              <w:suppressAutoHyphens/>
              <w:bidi w:val="0"/>
              <w:snapToGrid w:val="0"/>
              <w:jc w:val="center"/>
              <w:textAlignment w:val="center"/>
              <w:rPr>
                <w:rFonts w:hint="eastAsia" w:ascii="仿宋" w:hAnsi="仿宋" w:eastAsia="仿宋" w:cs="仿宋"/>
                <w:color w:val="000000"/>
                <w:kern w:val="2"/>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ABPA0001</w:t>
            </w:r>
          </w:p>
        </w:tc>
        <w:tc>
          <w:tcPr>
            <w:tcW w:w="750" w:type="dxa"/>
            <w:noWrap w:val="0"/>
            <w:vAlign w:val="center"/>
          </w:tcPr>
          <w:p w14:paraId="3562683E">
            <w:pPr>
              <w:widowControl/>
              <w:suppressAutoHyphens/>
              <w:bidi w:val="0"/>
              <w:snapToGrid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急诊室重症监护</w:t>
            </w:r>
          </w:p>
        </w:tc>
        <w:tc>
          <w:tcPr>
            <w:tcW w:w="2430" w:type="dxa"/>
            <w:noWrap w:val="0"/>
            <w:vAlign w:val="center"/>
          </w:tcPr>
          <w:p w14:paraId="68159E05">
            <w:pPr>
              <w:widowControl/>
              <w:suppressAutoHyphens/>
              <w:bidi w:val="0"/>
              <w:snapToGrid w:val="0"/>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含心电监护、血氧饱和度监测。</w:t>
            </w:r>
          </w:p>
        </w:tc>
        <w:tc>
          <w:tcPr>
            <w:tcW w:w="420" w:type="dxa"/>
            <w:noWrap w:val="0"/>
            <w:vAlign w:val="center"/>
          </w:tcPr>
          <w:p w14:paraId="2DDD1DB1">
            <w:pPr>
              <w:suppressAutoHyphens/>
              <w:bidi w:val="0"/>
              <w:snapToGrid w:val="0"/>
              <w:rPr>
                <w:rFonts w:hint="eastAsia" w:ascii="仿宋" w:hAnsi="仿宋" w:eastAsia="仿宋" w:cs="仿宋"/>
                <w:kern w:val="2"/>
                <w:sz w:val="24"/>
                <w:szCs w:val="24"/>
                <w:lang w:val="en-US" w:eastAsia="zh-CN" w:bidi="ar-SA"/>
              </w:rPr>
            </w:pPr>
          </w:p>
        </w:tc>
        <w:tc>
          <w:tcPr>
            <w:tcW w:w="465" w:type="dxa"/>
            <w:noWrap w:val="0"/>
            <w:vAlign w:val="center"/>
          </w:tcPr>
          <w:p w14:paraId="1CD1AF4A">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日</w:t>
            </w:r>
          </w:p>
        </w:tc>
        <w:tc>
          <w:tcPr>
            <w:tcW w:w="510" w:type="dxa"/>
            <w:noWrap w:val="0"/>
            <w:vAlign w:val="center"/>
          </w:tcPr>
          <w:p w14:paraId="008778A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143</w:t>
            </w:r>
          </w:p>
        </w:tc>
        <w:tc>
          <w:tcPr>
            <w:tcW w:w="540" w:type="dxa"/>
            <w:noWrap w:val="0"/>
            <w:vAlign w:val="center"/>
          </w:tcPr>
          <w:p w14:paraId="42B21796">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136</w:t>
            </w:r>
          </w:p>
        </w:tc>
        <w:tc>
          <w:tcPr>
            <w:tcW w:w="525" w:type="dxa"/>
            <w:noWrap w:val="0"/>
            <w:vAlign w:val="center"/>
          </w:tcPr>
          <w:p w14:paraId="745D8C63">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129</w:t>
            </w:r>
          </w:p>
        </w:tc>
        <w:tc>
          <w:tcPr>
            <w:tcW w:w="525" w:type="dxa"/>
            <w:noWrap w:val="0"/>
            <w:vAlign w:val="center"/>
          </w:tcPr>
          <w:p w14:paraId="6F19D44D">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122</w:t>
            </w:r>
          </w:p>
        </w:tc>
        <w:tc>
          <w:tcPr>
            <w:tcW w:w="855" w:type="dxa"/>
            <w:noWrap w:val="0"/>
            <w:vAlign w:val="center"/>
          </w:tcPr>
          <w:p w14:paraId="7A28026D">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114</w:t>
            </w:r>
          </w:p>
        </w:tc>
        <w:tc>
          <w:tcPr>
            <w:tcW w:w="1005" w:type="dxa"/>
            <w:noWrap w:val="0"/>
            <w:vAlign w:val="center"/>
          </w:tcPr>
          <w:p w14:paraId="3DA4C74B">
            <w:pPr>
              <w:widowControl/>
              <w:suppressAutoHyphens/>
              <w:bidi w:val="0"/>
              <w:snapToGrid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不足半日按半日收费。</w:t>
            </w:r>
          </w:p>
        </w:tc>
        <w:tc>
          <w:tcPr>
            <w:tcW w:w="431" w:type="dxa"/>
            <w:noWrap w:val="0"/>
            <w:vAlign w:val="center"/>
          </w:tcPr>
          <w:p w14:paraId="0F3C44E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646C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57" w:type="dxa"/>
            <w:noWrap w:val="0"/>
            <w:vAlign w:val="center"/>
          </w:tcPr>
          <w:p w14:paraId="7FAACE4F">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6</w:t>
            </w:r>
          </w:p>
        </w:tc>
        <w:tc>
          <w:tcPr>
            <w:tcW w:w="568" w:type="dxa"/>
            <w:noWrap w:val="0"/>
            <w:vAlign w:val="center"/>
          </w:tcPr>
          <w:p w14:paraId="6F62E3E5">
            <w:pPr>
              <w:widowControl/>
              <w:suppressAutoHyphens/>
              <w:bidi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ACBA001</w:t>
            </w:r>
          </w:p>
        </w:tc>
        <w:tc>
          <w:tcPr>
            <w:tcW w:w="750" w:type="dxa"/>
            <w:noWrap w:val="0"/>
            <w:vAlign w:val="center"/>
          </w:tcPr>
          <w:p w14:paraId="258D2742">
            <w:pPr>
              <w:widowControl/>
              <w:suppressAutoHyphens/>
              <w:bidi w:val="0"/>
              <w:snapToGrid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新生儿护理</w:t>
            </w:r>
          </w:p>
        </w:tc>
        <w:tc>
          <w:tcPr>
            <w:tcW w:w="2430" w:type="dxa"/>
            <w:noWrap w:val="0"/>
            <w:vAlign w:val="center"/>
          </w:tcPr>
          <w:p w14:paraId="5802B336">
            <w:pPr>
              <w:widowControl/>
              <w:suppressAutoHyphens/>
              <w:bidi w:val="0"/>
              <w:snapToGrid w:val="0"/>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评估新生儿</w:t>
            </w:r>
            <w:r>
              <w:rPr>
                <w:rFonts w:hint="eastAsia" w:ascii="仿宋" w:hAnsi="仿宋" w:eastAsia="仿宋" w:cs="仿宋"/>
                <w:i w:val="0"/>
                <w:iCs w:val="0"/>
                <w:color w:val="000000"/>
                <w:spacing w:val="-6"/>
                <w:kern w:val="0"/>
                <w:sz w:val="24"/>
                <w:szCs w:val="24"/>
                <w:u w:val="none"/>
                <w:lang w:val="en-US" w:eastAsia="zh-CN" w:bidi="ar"/>
              </w:rPr>
              <w:t>适应环境能力，新生儿口腔护理，喂养，称体重，脐部残端护理，臀部护理，换尿布，观察排泄物形态并记录，</w:t>
            </w:r>
            <w:r>
              <w:rPr>
                <w:rFonts w:hint="eastAsia" w:ascii="仿宋" w:hAnsi="仿宋" w:eastAsia="仿宋" w:cs="仿宋"/>
                <w:i w:val="0"/>
                <w:iCs w:val="0"/>
                <w:color w:val="000000"/>
                <w:kern w:val="0"/>
                <w:sz w:val="24"/>
                <w:szCs w:val="24"/>
                <w:u w:val="none"/>
                <w:lang w:val="en-US" w:eastAsia="zh-CN" w:bidi="ar"/>
              </w:rPr>
              <w:t>洗浴，新生儿床位清洁消毒。含新生儿抚触。</w:t>
            </w:r>
          </w:p>
        </w:tc>
        <w:tc>
          <w:tcPr>
            <w:tcW w:w="420" w:type="dxa"/>
            <w:noWrap w:val="0"/>
            <w:vAlign w:val="center"/>
          </w:tcPr>
          <w:p w14:paraId="2D709779">
            <w:pPr>
              <w:suppressAutoHyphens/>
              <w:bidi w:val="0"/>
              <w:snapToGrid w:val="0"/>
              <w:rPr>
                <w:rFonts w:hint="eastAsia" w:ascii="仿宋" w:hAnsi="仿宋" w:eastAsia="仿宋" w:cs="仿宋"/>
                <w:kern w:val="2"/>
                <w:sz w:val="24"/>
                <w:szCs w:val="24"/>
                <w:lang w:val="en-US" w:eastAsia="zh-CN" w:bidi="ar-SA"/>
              </w:rPr>
            </w:pPr>
          </w:p>
        </w:tc>
        <w:tc>
          <w:tcPr>
            <w:tcW w:w="465" w:type="dxa"/>
            <w:noWrap w:val="0"/>
            <w:vAlign w:val="center"/>
          </w:tcPr>
          <w:p w14:paraId="71C39DDD">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日</w:t>
            </w:r>
          </w:p>
        </w:tc>
        <w:tc>
          <w:tcPr>
            <w:tcW w:w="510" w:type="dxa"/>
            <w:noWrap w:val="0"/>
            <w:vAlign w:val="center"/>
          </w:tcPr>
          <w:p w14:paraId="7D97CD85">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33</w:t>
            </w:r>
          </w:p>
        </w:tc>
        <w:tc>
          <w:tcPr>
            <w:tcW w:w="540" w:type="dxa"/>
            <w:noWrap w:val="0"/>
            <w:vAlign w:val="center"/>
          </w:tcPr>
          <w:p w14:paraId="08A4B29F">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31</w:t>
            </w:r>
          </w:p>
        </w:tc>
        <w:tc>
          <w:tcPr>
            <w:tcW w:w="525" w:type="dxa"/>
            <w:noWrap w:val="0"/>
            <w:vAlign w:val="center"/>
          </w:tcPr>
          <w:p w14:paraId="64A13378">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30</w:t>
            </w:r>
          </w:p>
        </w:tc>
        <w:tc>
          <w:tcPr>
            <w:tcW w:w="525" w:type="dxa"/>
            <w:noWrap w:val="0"/>
            <w:vAlign w:val="center"/>
          </w:tcPr>
          <w:p w14:paraId="0FE86B3B">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28</w:t>
            </w:r>
          </w:p>
        </w:tc>
        <w:tc>
          <w:tcPr>
            <w:tcW w:w="855" w:type="dxa"/>
            <w:noWrap w:val="0"/>
            <w:vAlign w:val="center"/>
          </w:tcPr>
          <w:p w14:paraId="15B7E1F5">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26</w:t>
            </w:r>
          </w:p>
        </w:tc>
        <w:tc>
          <w:tcPr>
            <w:tcW w:w="1005" w:type="dxa"/>
            <w:noWrap w:val="0"/>
            <w:vAlign w:val="center"/>
          </w:tcPr>
          <w:p w14:paraId="012FC7FF">
            <w:pPr>
              <w:widowControl/>
              <w:suppressAutoHyphens/>
              <w:bidi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与分级护理不能同时收取。</w:t>
            </w:r>
          </w:p>
        </w:tc>
        <w:tc>
          <w:tcPr>
            <w:tcW w:w="431" w:type="dxa"/>
            <w:noWrap w:val="0"/>
            <w:vAlign w:val="center"/>
          </w:tcPr>
          <w:p w14:paraId="3A0F407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0F1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457" w:type="dxa"/>
            <w:noWrap w:val="0"/>
            <w:vAlign w:val="center"/>
          </w:tcPr>
          <w:p w14:paraId="2F0869B8">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7</w:t>
            </w:r>
          </w:p>
        </w:tc>
        <w:tc>
          <w:tcPr>
            <w:tcW w:w="568" w:type="dxa"/>
            <w:noWrap w:val="0"/>
            <w:vAlign w:val="center"/>
          </w:tcPr>
          <w:p w14:paraId="03B11828">
            <w:pPr>
              <w:widowControl/>
              <w:suppressAutoHyphens/>
              <w:bidi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ABDA0001</w:t>
            </w:r>
          </w:p>
        </w:tc>
        <w:tc>
          <w:tcPr>
            <w:tcW w:w="750" w:type="dxa"/>
            <w:noWrap w:val="0"/>
            <w:vAlign w:val="center"/>
          </w:tcPr>
          <w:p w14:paraId="2B651D5C">
            <w:pPr>
              <w:widowControl/>
              <w:suppressAutoHyphens/>
              <w:bidi w:val="0"/>
              <w:snapToGrid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经外周静脉置入中心静脉导管术</w:t>
            </w:r>
          </w:p>
        </w:tc>
        <w:tc>
          <w:tcPr>
            <w:tcW w:w="2430" w:type="dxa"/>
            <w:noWrap w:val="0"/>
            <w:vAlign w:val="center"/>
          </w:tcPr>
          <w:p w14:paraId="21B164B1">
            <w:pPr>
              <w:widowControl/>
              <w:suppressAutoHyphens/>
              <w:bidi w:val="0"/>
              <w:snapToGrid w:val="0"/>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评估患者病情、合作程度及穿刺血管情况等，核对医嘱及患者信息，取适当体位，检查导管，测量导管插入长度，选择穿刺部位，皮肤消毒（直径10厘米），无菌注射器预冲导管，静脉穿刺，送导管至预计长度，撤导丝，抽回血并冲管，修剪长度安装连接器，连接肝素帽并正压封管，无菌敷料固定，处理用物，观察患者反应并记录，做好健康教育及心理护理。不含超声引导、X线检查。</w:t>
            </w:r>
          </w:p>
        </w:tc>
        <w:tc>
          <w:tcPr>
            <w:tcW w:w="420" w:type="dxa"/>
            <w:noWrap w:val="0"/>
            <w:vAlign w:val="center"/>
          </w:tcPr>
          <w:p w14:paraId="5201C61C">
            <w:pPr>
              <w:suppressAutoHyphens/>
              <w:bidi w:val="0"/>
              <w:snapToGrid w:val="0"/>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w w:val="80"/>
                <w:kern w:val="0"/>
                <w:sz w:val="24"/>
                <w:szCs w:val="24"/>
                <w:u w:val="none"/>
                <w:lang w:val="en-US" w:eastAsia="zh-CN" w:bidi="ar"/>
              </w:rPr>
              <w:t>中心静脉导管</w:t>
            </w:r>
          </w:p>
        </w:tc>
        <w:tc>
          <w:tcPr>
            <w:tcW w:w="465" w:type="dxa"/>
            <w:noWrap w:val="0"/>
            <w:vAlign w:val="center"/>
          </w:tcPr>
          <w:p w14:paraId="45594D57">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6AA8E801">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95</w:t>
            </w:r>
          </w:p>
        </w:tc>
        <w:tc>
          <w:tcPr>
            <w:tcW w:w="540" w:type="dxa"/>
            <w:noWrap w:val="0"/>
            <w:vAlign w:val="center"/>
          </w:tcPr>
          <w:p w14:paraId="7192EC6D">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90</w:t>
            </w:r>
          </w:p>
        </w:tc>
        <w:tc>
          <w:tcPr>
            <w:tcW w:w="525" w:type="dxa"/>
            <w:noWrap w:val="0"/>
            <w:vAlign w:val="center"/>
          </w:tcPr>
          <w:p w14:paraId="10F17222">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86</w:t>
            </w:r>
          </w:p>
        </w:tc>
        <w:tc>
          <w:tcPr>
            <w:tcW w:w="525" w:type="dxa"/>
            <w:noWrap w:val="0"/>
            <w:vAlign w:val="center"/>
          </w:tcPr>
          <w:p w14:paraId="5A6B4068">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81</w:t>
            </w:r>
          </w:p>
        </w:tc>
        <w:tc>
          <w:tcPr>
            <w:tcW w:w="855" w:type="dxa"/>
            <w:noWrap w:val="0"/>
            <w:vAlign w:val="center"/>
          </w:tcPr>
          <w:p w14:paraId="0524C883">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76</w:t>
            </w:r>
          </w:p>
        </w:tc>
        <w:tc>
          <w:tcPr>
            <w:tcW w:w="1005" w:type="dxa"/>
            <w:noWrap w:val="0"/>
            <w:vAlign w:val="center"/>
          </w:tcPr>
          <w:p w14:paraId="65CC01B0">
            <w:pPr>
              <w:widowControl/>
              <w:suppressAutoHyphens/>
              <w:bidi w:val="0"/>
              <w:snapToGrid w:val="0"/>
              <w:jc w:val="left"/>
              <w:textAlignment w:val="center"/>
              <w:rPr>
                <w:rFonts w:hint="eastAsia" w:ascii="仿宋" w:hAnsi="仿宋" w:eastAsia="仿宋" w:cs="仿宋"/>
                <w:i w:val="0"/>
                <w:iCs w:val="0"/>
                <w:color w:val="000000"/>
                <w:kern w:val="0"/>
                <w:sz w:val="21"/>
                <w:szCs w:val="21"/>
                <w:u w:val="none"/>
                <w:lang w:val="en-US" w:eastAsia="zh-CN" w:bidi="ar"/>
              </w:rPr>
            </w:pPr>
          </w:p>
        </w:tc>
        <w:tc>
          <w:tcPr>
            <w:tcW w:w="431" w:type="dxa"/>
            <w:noWrap w:val="0"/>
            <w:vAlign w:val="center"/>
          </w:tcPr>
          <w:p w14:paraId="384AC79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5F83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457" w:type="dxa"/>
            <w:noWrap w:val="0"/>
            <w:vAlign w:val="center"/>
          </w:tcPr>
          <w:p w14:paraId="12AC9CE6">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8</w:t>
            </w:r>
          </w:p>
        </w:tc>
        <w:tc>
          <w:tcPr>
            <w:tcW w:w="568" w:type="dxa"/>
            <w:noWrap w:val="0"/>
            <w:vAlign w:val="center"/>
          </w:tcPr>
          <w:p w14:paraId="2C76A730">
            <w:pPr>
              <w:widowControl/>
              <w:suppressAutoHyphens/>
              <w:bidi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310902005</w:t>
            </w:r>
          </w:p>
        </w:tc>
        <w:tc>
          <w:tcPr>
            <w:tcW w:w="750" w:type="dxa"/>
            <w:noWrap w:val="0"/>
            <w:vAlign w:val="center"/>
          </w:tcPr>
          <w:p w14:paraId="07DF83E3">
            <w:pPr>
              <w:widowControl/>
              <w:suppressAutoHyphens/>
              <w:bidi w:val="0"/>
              <w:snapToGrid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纤维胃十二指肠镜检查</w:t>
            </w:r>
          </w:p>
        </w:tc>
        <w:tc>
          <w:tcPr>
            <w:tcW w:w="2430" w:type="dxa"/>
            <w:noWrap w:val="0"/>
            <w:vAlign w:val="center"/>
          </w:tcPr>
          <w:p w14:paraId="03DCFEA1">
            <w:pPr>
              <w:widowControl/>
              <w:suppressAutoHyphens/>
              <w:bidi w:val="0"/>
              <w:snapToGrid w:val="0"/>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含活检和刷检。</w:t>
            </w:r>
          </w:p>
        </w:tc>
        <w:tc>
          <w:tcPr>
            <w:tcW w:w="420" w:type="dxa"/>
            <w:noWrap w:val="0"/>
            <w:vAlign w:val="center"/>
          </w:tcPr>
          <w:p w14:paraId="17D98B91">
            <w:pPr>
              <w:suppressAutoHyphens/>
              <w:bidi w:val="0"/>
              <w:snapToGrid w:val="0"/>
              <w:rPr>
                <w:rFonts w:hint="eastAsia" w:ascii="仿宋" w:hAnsi="仿宋" w:eastAsia="仿宋" w:cs="仿宋"/>
                <w:i w:val="0"/>
                <w:iCs w:val="0"/>
                <w:color w:val="000000"/>
                <w:kern w:val="0"/>
                <w:sz w:val="24"/>
                <w:szCs w:val="24"/>
                <w:u w:val="none"/>
                <w:lang w:val="en-US" w:eastAsia="zh-CN" w:bidi="ar"/>
              </w:rPr>
            </w:pPr>
          </w:p>
        </w:tc>
        <w:tc>
          <w:tcPr>
            <w:tcW w:w="465" w:type="dxa"/>
            <w:noWrap w:val="0"/>
            <w:vAlign w:val="center"/>
          </w:tcPr>
          <w:p w14:paraId="56B38EA7">
            <w:pPr>
              <w:widowControl/>
              <w:suppressAutoHyphens/>
              <w:bidi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1D700B4B">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152</w:t>
            </w:r>
          </w:p>
        </w:tc>
        <w:tc>
          <w:tcPr>
            <w:tcW w:w="540" w:type="dxa"/>
            <w:noWrap w:val="0"/>
            <w:vAlign w:val="center"/>
          </w:tcPr>
          <w:p w14:paraId="6E3798F0">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144</w:t>
            </w:r>
          </w:p>
        </w:tc>
        <w:tc>
          <w:tcPr>
            <w:tcW w:w="525" w:type="dxa"/>
            <w:noWrap w:val="0"/>
            <w:vAlign w:val="center"/>
          </w:tcPr>
          <w:p w14:paraId="2F3B2E10">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137</w:t>
            </w:r>
          </w:p>
        </w:tc>
        <w:tc>
          <w:tcPr>
            <w:tcW w:w="525" w:type="dxa"/>
            <w:noWrap w:val="0"/>
            <w:vAlign w:val="center"/>
          </w:tcPr>
          <w:p w14:paraId="569D6EB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129</w:t>
            </w:r>
          </w:p>
        </w:tc>
        <w:tc>
          <w:tcPr>
            <w:tcW w:w="855" w:type="dxa"/>
            <w:noWrap w:val="0"/>
            <w:vAlign w:val="center"/>
          </w:tcPr>
          <w:p w14:paraId="78817F9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122</w:t>
            </w:r>
          </w:p>
        </w:tc>
        <w:tc>
          <w:tcPr>
            <w:tcW w:w="1005" w:type="dxa"/>
            <w:noWrap w:val="0"/>
            <w:vAlign w:val="center"/>
          </w:tcPr>
          <w:p w14:paraId="4F5F391C">
            <w:pPr>
              <w:widowControl/>
              <w:suppressAutoHyphens/>
              <w:bidi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w w:val="80"/>
                <w:kern w:val="0"/>
                <w:sz w:val="21"/>
                <w:szCs w:val="21"/>
                <w:u w:val="none"/>
                <w:lang w:val="en-US" w:eastAsia="zh-CN" w:bidi="ar"/>
              </w:rPr>
              <w:t>电子镜加收100元；无痛胃镜检查三级医院550元，二级及以下医院500元。</w:t>
            </w:r>
          </w:p>
        </w:tc>
        <w:tc>
          <w:tcPr>
            <w:tcW w:w="431" w:type="dxa"/>
            <w:noWrap w:val="0"/>
            <w:vAlign w:val="center"/>
          </w:tcPr>
          <w:p w14:paraId="1504D00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467F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57" w:type="dxa"/>
            <w:noWrap w:val="0"/>
            <w:vAlign w:val="center"/>
          </w:tcPr>
          <w:p w14:paraId="12503CEE">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9</w:t>
            </w:r>
          </w:p>
        </w:tc>
        <w:tc>
          <w:tcPr>
            <w:tcW w:w="568" w:type="dxa"/>
            <w:noWrap w:val="0"/>
            <w:vAlign w:val="center"/>
          </w:tcPr>
          <w:p w14:paraId="3DD3C199">
            <w:pPr>
              <w:widowControl/>
              <w:suppressAutoHyphens/>
              <w:bidi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330201041</w:t>
            </w:r>
          </w:p>
        </w:tc>
        <w:tc>
          <w:tcPr>
            <w:tcW w:w="750" w:type="dxa"/>
            <w:noWrap w:val="0"/>
            <w:vAlign w:val="center"/>
          </w:tcPr>
          <w:p w14:paraId="576F9A85">
            <w:pPr>
              <w:widowControl/>
              <w:suppressAutoHyphens/>
              <w:bidi w:val="0"/>
              <w:snapToGrid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颅底肿瘤切除术</w:t>
            </w:r>
          </w:p>
        </w:tc>
        <w:tc>
          <w:tcPr>
            <w:tcW w:w="2430" w:type="dxa"/>
            <w:noWrap w:val="0"/>
            <w:vAlign w:val="center"/>
          </w:tcPr>
          <w:p w14:paraId="0E405C62">
            <w:pPr>
              <w:widowControl/>
              <w:suppressAutoHyphens/>
              <w:bidi w:val="0"/>
              <w:snapToGrid w:val="0"/>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包括前、中颅窝颅内外沟通性肿瘤、前、中、后颅窝底肿瘤（鞍结节脑膜瘤、侵袭性垂体瘤、脊索瘤、神经鞘瘤）、颈脉孔区肿瘤、上颌外旋颅底手术；不含胆脂瘤、囊肿。</w:t>
            </w:r>
          </w:p>
        </w:tc>
        <w:tc>
          <w:tcPr>
            <w:tcW w:w="420" w:type="dxa"/>
            <w:noWrap w:val="0"/>
            <w:vAlign w:val="center"/>
          </w:tcPr>
          <w:p w14:paraId="0B8B5BE6">
            <w:pPr>
              <w:suppressAutoHyphens/>
              <w:bidi w:val="0"/>
              <w:snapToGrid w:val="0"/>
              <w:rPr>
                <w:rFonts w:hint="eastAsia" w:ascii="仿宋" w:hAnsi="仿宋" w:eastAsia="仿宋" w:cs="仿宋"/>
                <w:i w:val="0"/>
                <w:iCs w:val="0"/>
                <w:color w:val="000000"/>
                <w:kern w:val="0"/>
                <w:sz w:val="24"/>
                <w:szCs w:val="24"/>
                <w:u w:val="none"/>
                <w:lang w:val="en-US" w:eastAsia="zh-CN" w:bidi="ar"/>
              </w:rPr>
            </w:pPr>
          </w:p>
        </w:tc>
        <w:tc>
          <w:tcPr>
            <w:tcW w:w="465" w:type="dxa"/>
            <w:noWrap w:val="0"/>
            <w:vAlign w:val="center"/>
          </w:tcPr>
          <w:p w14:paraId="1B08CF42">
            <w:pPr>
              <w:widowControl/>
              <w:suppressAutoHyphens/>
              <w:bidi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46E3E690">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7125</w:t>
            </w:r>
          </w:p>
        </w:tc>
        <w:tc>
          <w:tcPr>
            <w:tcW w:w="540" w:type="dxa"/>
            <w:noWrap w:val="0"/>
            <w:vAlign w:val="center"/>
          </w:tcPr>
          <w:p w14:paraId="3962EE40">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6769</w:t>
            </w:r>
          </w:p>
        </w:tc>
        <w:tc>
          <w:tcPr>
            <w:tcW w:w="525" w:type="dxa"/>
            <w:noWrap w:val="0"/>
            <w:vAlign w:val="center"/>
          </w:tcPr>
          <w:p w14:paraId="4934E812">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6413</w:t>
            </w:r>
          </w:p>
        </w:tc>
        <w:tc>
          <w:tcPr>
            <w:tcW w:w="525" w:type="dxa"/>
            <w:noWrap w:val="0"/>
            <w:vAlign w:val="center"/>
          </w:tcPr>
          <w:p w14:paraId="5BA6A01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6056</w:t>
            </w:r>
          </w:p>
        </w:tc>
        <w:tc>
          <w:tcPr>
            <w:tcW w:w="855" w:type="dxa"/>
            <w:noWrap w:val="0"/>
            <w:vAlign w:val="center"/>
          </w:tcPr>
          <w:p w14:paraId="42A1C629">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5700</w:t>
            </w:r>
          </w:p>
        </w:tc>
        <w:tc>
          <w:tcPr>
            <w:tcW w:w="1005" w:type="dxa"/>
            <w:noWrap w:val="0"/>
            <w:vAlign w:val="center"/>
          </w:tcPr>
          <w:p w14:paraId="2061CF7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颅底再造按颅骨修补处理</w:t>
            </w:r>
          </w:p>
        </w:tc>
        <w:tc>
          <w:tcPr>
            <w:tcW w:w="431" w:type="dxa"/>
            <w:noWrap w:val="0"/>
            <w:vAlign w:val="center"/>
          </w:tcPr>
          <w:p w14:paraId="0E6B1A6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6ECF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57" w:type="dxa"/>
            <w:noWrap w:val="0"/>
            <w:vAlign w:val="center"/>
          </w:tcPr>
          <w:p w14:paraId="4986810C">
            <w:pPr>
              <w:widowControl/>
              <w:suppressAutoHyphens/>
              <w:bidi w:val="0"/>
              <w:snapToGrid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568" w:type="dxa"/>
            <w:noWrap w:val="0"/>
            <w:vAlign w:val="center"/>
          </w:tcPr>
          <w:p w14:paraId="08887EA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330300011</w:t>
            </w:r>
          </w:p>
        </w:tc>
        <w:tc>
          <w:tcPr>
            <w:tcW w:w="750" w:type="dxa"/>
            <w:noWrap w:val="0"/>
            <w:vAlign w:val="center"/>
          </w:tcPr>
          <w:p w14:paraId="3720505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甲状腺癌根治术</w:t>
            </w:r>
          </w:p>
        </w:tc>
        <w:tc>
          <w:tcPr>
            <w:tcW w:w="2430" w:type="dxa"/>
            <w:noWrap w:val="0"/>
            <w:vAlign w:val="center"/>
          </w:tcPr>
          <w:p w14:paraId="17BB45A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颈部切口，于颈阔肌浅面游离皮瓣，结扎切断颈外静脉，显露甲状腺，明确诊断后，延成双叉切口，切断胸骨舌骨肌、胸骨甲状肌、胸锁乳突肌和颈内静脉，由下向上清除淋巴结和脂肪组织，切开显露全叶甲状腺，探查、处理血管，行病变侧全叶甲状腺及峡部切除，保护喉上、喉返神经、舌下神经、膈神经，止血，置管引出固定，缝合切口。</w:t>
            </w:r>
          </w:p>
        </w:tc>
        <w:tc>
          <w:tcPr>
            <w:tcW w:w="420" w:type="dxa"/>
            <w:noWrap w:val="0"/>
            <w:vAlign w:val="center"/>
          </w:tcPr>
          <w:p w14:paraId="2F4553B4">
            <w:pPr>
              <w:suppressAutoHyphens/>
              <w:bidi w:val="0"/>
              <w:snapToGrid w:val="0"/>
              <w:rPr>
                <w:rFonts w:hint="eastAsia" w:ascii="仿宋" w:hAnsi="仿宋" w:eastAsia="仿宋" w:cs="仿宋"/>
                <w:i w:val="0"/>
                <w:iCs w:val="0"/>
                <w:color w:val="000000"/>
                <w:kern w:val="0"/>
                <w:sz w:val="24"/>
                <w:szCs w:val="24"/>
                <w:u w:val="none"/>
                <w:lang w:val="en-US" w:eastAsia="zh-CN" w:bidi="ar"/>
              </w:rPr>
            </w:pPr>
          </w:p>
        </w:tc>
        <w:tc>
          <w:tcPr>
            <w:tcW w:w="465" w:type="dxa"/>
            <w:noWrap w:val="0"/>
            <w:vAlign w:val="center"/>
          </w:tcPr>
          <w:p w14:paraId="1A64EE11">
            <w:pPr>
              <w:widowControl/>
              <w:suppressAutoHyphens/>
              <w:bidi w:val="0"/>
              <w:snapToGrid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7FD56CE7">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3116</w:t>
            </w:r>
          </w:p>
        </w:tc>
        <w:tc>
          <w:tcPr>
            <w:tcW w:w="540" w:type="dxa"/>
            <w:noWrap w:val="0"/>
            <w:vAlign w:val="center"/>
          </w:tcPr>
          <w:p w14:paraId="45AA6806">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2960</w:t>
            </w:r>
          </w:p>
        </w:tc>
        <w:tc>
          <w:tcPr>
            <w:tcW w:w="525" w:type="dxa"/>
            <w:noWrap w:val="0"/>
            <w:vAlign w:val="center"/>
          </w:tcPr>
          <w:p w14:paraId="55D47C2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2804</w:t>
            </w:r>
          </w:p>
        </w:tc>
        <w:tc>
          <w:tcPr>
            <w:tcW w:w="525" w:type="dxa"/>
            <w:noWrap w:val="0"/>
            <w:vAlign w:val="center"/>
          </w:tcPr>
          <w:p w14:paraId="39D52C11">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2649</w:t>
            </w:r>
          </w:p>
        </w:tc>
        <w:tc>
          <w:tcPr>
            <w:tcW w:w="855" w:type="dxa"/>
            <w:noWrap w:val="0"/>
            <w:vAlign w:val="center"/>
          </w:tcPr>
          <w:p w14:paraId="1669E87C">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2493</w:t>
            </w:r>
          </w:p>
        </w:tc>
        <w:tc>
          <w:tcPr>
            <w:tcW w:w="1005" w:type="dxa"/>
            <w:noWrap w:val="0"/>
            <w:vAlign w:val="center"/>
          </w:tcPr>
          <w:p w14:paraId="786A91F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0"/>
                <w:sz w:val="21"/>
                <w:szCs w:val="21"/>
                <w:u w:val="none"/>
                <w:lang w:val="en-US" w:eastAsia="zh-CN" w:bidi="ar"/>
              </w:rPr>
            </w:pPr>
          </w:p>
        </w:tc>
        <w:tc>
          <w:tcPr>
            <w:tcW w:w="431" w:type="dxa"/>
            <w:noWrap w:val="0"/>
            <w:vAlign w:val="center"/>
          </w:tcPr>
          <w:p w14:paraId="4799383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69EA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57" w:type="dxa"/>
            <w:noWrap w:val="0"/>
            <w:vAlign w:val="center"/>
          </w:tcPr>
          <w:p w14:paraId="5AB9B6F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568" w:type="dxa"/>
            <w:noWrap w:val="0"/>
            <w:vAlign w:val="center"/>
          </w:tcPr>
          <w:p w14:paraId="78AE36D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330702006</w:t>
            </w:r>
          </w:p>
        </w:tc>
        <w:tc>
          <w:tcPr>
            <w:tcW w:w="750" w:type="dxa"/>
            <w:noWrap w:val="0"/>
            <w:vAlign w:val="center"/>
          </w:tcPr>
          <w:p w14:paraId="51398DA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肺叶切除术</w:t>
            </w:r>
          </w:p>
        </w:tc>
        <w:tc>
          <w:tcPr>
            <w:tcW w:w="2430" w:type="dxa"/>
            <w:noWrap w:val="0"/>
            <w:vAlign w:val="center"/>
          </w:tcPr>
          <w:p w14:paraId="7AEB10B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包括同侧肺两叶切除术。</w:t>
            </w:r>
          </w:p>
        </w:tc>
        <w:tc>
          <w:tcPr>
            <w:tcW w:w="420" w:type="dxa"/>
            <w:noWrap w:val="0"/>
            <w:vAlign w:val="center"/>
          </w:tcPr>
          <w:p w14:paraId="6B777937">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79F00CF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711679C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3325</w:t>
            </w:r>
          </w:p>
        </w:tc>
        <w:tc>
          <w:tcPr>
            <w:tcW w:w="540" w:type="dxa"/>
            <w:noWrap w:val="0"/>
            <w:vAlign w:val="center"/>
          </w:tcPr>
          <w:p w14:paraId="471AA77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3159</w:t>
            </w:r>
          </w:p>
        </w:tc>
        <w:tc>
          <w:tcPr>
            <w:tcW w:w="525" w:type="dxa"/>
            <w:noWrap w:val="0"/>
            <w:vAlign w:val="center"/>
          </w:tcPr>
          <w:p w14:paraId="205C80D7">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2993</w:t>
            </w:r>
          </w:p>
        </w:tc>
        <w:tc>
          <w:tcPr>
            <w:tcW w:w="525" w:type="dxa"/>
            <w:noWrap w:val="0"/>
            <w:vAlign w:val="center"/>
          </w:tcPr>
          <w:p w14:paraId="1D26915A">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2826</w:t>
            </w:r>
          </w:p>
        </w:tc>
        <w:tc>
          <w:tcPr>
            <w:tcW w:w="855" w:type="dxa"/>
            <w:noWrap w:val="0"/>
            <w:vAlign w:val="center"/>
          </w:tcPr>
          <w:p w14:paraId="31F17C26">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2660</w:t>
            </w:r>
          </w:p>
        </w:tc>
        <w:tc>
          <w:tcPr>
            <w:tcW w:w="1005" w:type="dxa"/>
            <w:noWrap w:val="0"/>
            <w:vAlign w:val="center"/>
          </w:tcPr>
          <w:p w14:paraId="568231DF">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1"/>
                <w:szCs w:val="21"/>
                <w:u w:val="none"/>
                <w:lang w:val="en-US" w:eastAsia="zh-CN" w:bidi="ar-SA"/>
              </w:rPr>
            </w:pPr>
          </w:p>
        </w:tc>
        <w:tc>
          <w:tcPr>
            <w:tcW w:w="431" w:type="dxa"/>
            <w:noWrap w:val="0"/>
            <w:vAlign w:val="center"/>
          </w:tcPr>
          <w:p w14:paraId="38F6DD0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5728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457" w:type="dxa"/>
            <w:noWrap w:val="0"/>
            <w:vAlign w:val="center"/>
          </w:tcPr>
          <w:p w14:paraId="67ADB12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568" w:type="dxa"/>
            <w:noWrap w:val="0"/>
            <w:vAlign w:val="center"/>
          </w:tcPr>
          <w:p w14:paraId="0EFC22B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331001011</w:t>
            </w:r>
          </w:p>
        </w:tc>
        <w:tc>
          <w:tcPr>
            <w:tcW w:w="750" w:type="dxa"/>
            <w:noWrap w:val="0"/>
            <w:vAlign w:val="center"/>
          </w:tcPr>
          <w:p w14:paraId="6F61606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食管癌根治术</w:t>
            </w:r>
          </w:p>
        </w:tc>
        <w:tc>
          <w:tcPr>
            <w:tcW w:w="2430" w:type="dxa"/>
            <w:noWrap w:val="0"/>
            <w:vAlign w:val="center"/>
          </w:tcPr>
          <w:p w14:paraId="179137E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包括胸内胃食管吻合(主动脉引弓下、弓上胸顶部吻合)及颈部吻合术。</w:t>
            </w:r>
          </w:p>
        </w:tc>
        <w:tc>
          <w:tcPr>
            <w:tcW w:w="420" w:type="dxa"/>
            <w:noWrap w:val="0"/>
            <w:vAlign w:val="center"/>
          </w:tcPr>
          <w:p w14:paraId="04E773C6">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50F14A6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54B1568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4560</w:t>
            </w:r>
          </w:p>
        </w:tc>
        <w:tc>
          <w:tcPr>
            <w:tcW w:w="540" w:type="dxa"/>
            <w:noWrap w:val="0"/>
            <w:vAlign w:val="center"/>
          </w:tcPr>
          <w:p w14:paraId="611F9BA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4332</w:t>
            </w:r>
          </w:p>
        </w:tc>
        <w:tc>
          <w:tcPr>
            <w:tcW w:w="525" w:type="dxa"/>
            <w:noWrap w:val="0"/>
            <w:vAlign w:val="center"/>
          </w:tcPr>
          <w:p w14:paraId="5663B215">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4104</w:t>
            </w:r>
          </w:p>
        </w:tc>
        <w:tc>
          <w:tcPr>
            <w:tcW w:w="525" w:type="dxa"/>
            <w:noWrap w:val="0"/>
            <w:vAlign w:val="center"/>
          </w:tcPr>
          <w:p w14:paraId="25EE0BDC">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3876</w:t>
            </w:r>
          </w:p>
        </w:tc>
        <w:tc>
          <w:tcPr>
            <w:tcW w:w="855" w:type="dxa"/>
            <w:noWrap w:val="0"/>
            <w:vAlign w:val="center"/>
          </w:tcPr>
          <w:p w14:paraId="45BAE679">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3648</w:t>
            </w:r>
          </w:p>
        </w:tc>
        <w:tc>
          <w:tcPr>
            <w:tcW w:w="1005" w:type="dxa"/>
            <w:noWrap w:val="0"/>
            <w:vAlign w:val="center"/>
          </w:tcPr>
          <w:p w14:paraId="5F4A766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三切口联合加收30%</w:t>
            </w:r>
          </w:p>
        </w:tc>
        <w:tc>
          <w:tcPr>
            <w:tcW w:w="431" w:type="dxa"/>
            <w:noWrap w:val="0"/>
            <w:vAlign w:val="center"/>
          </w:tcPr>
          <w:p w14:paraId="0E88440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3376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57" w:type="dxa"/>
            <w:noWrap w:val="0"/>
            <w:vAlign w:val="center"/>
          </w:tcPr>
          <w:p w14:paraId="0884D7C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568" w:type="dxa"/>
            <w:noWrap w:val="0"/>
            <w:vAlign w:val="center"/>
          </w:tcPr>
          <w:p w14:paraId="5C69C62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331002005</w:t>
            </w:r>
          </w:p>
        </w:tc>
        <w:tc>
          <w:tcPr>
            <w:tcW w:w="750" w:type="dxa"/>
            <w:noWrap w:val="0"/>
            <w:vAlign w:val="center"/>
          </w:tcPr>
          <w:p w14:paraId="715FBA3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胃癌根治术</w:t>
            </w:r>
          </w:p>
        </w:tc>
        <w:tc>
          <w:tcPr>
            <w:tcW w:w="2430" w:type="dxa"/>
            <w:noWrap w:val="0"/>
            <w:vAlign w:val="center"/>
          </w:tcPr>
          <w:p w14:paraId="1F7BF51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含保留胃近端与十二指肠或空肠吻合；不含联合其他脏器切除。</w:t>
            </w:r>
          </w:p>
        </w:tc>
        <w:tc>
          <w:tcPr>
            <w:tcW w:w="420" w:type="dxa"/>
            <w:noWrap w:val="0"/>
            <w:vAlign w:val="center"/>
          </w:tcPr>
          <w:p w14:paraId="00084F17">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2C465CF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54A6CF9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3610</w:t>
            </w:r>
          </w:p>
        </w:tc>
        <w:tc>
          <w:tcPr>
            <w:tcW w:w="540" w:type="dxa"/>
            <w:noWrap w:val="0"/>
            <w:vAlign w:val="center"/>
          </w:tcPr>
          <w:p w14:paraId="7C2B487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3430</w:t>
            </w:r>
          </w:p>
        </w:tc>
        <w:tc>
          <w:tcPr>
            <w:tcW w:w="525" w:type="dxa"/>
            <w:noWrap w:val="0"/>
            <w:vAlign w:val="center"/>
          </w:tcPr>
          <w:p w14:paraId="49167C3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3249</w:t>
            </w:r>
          </w:p>
        </w:tc>
        <w:tc>
          <w:tcPr>
            <w:tcW w:w="525" w:type="dxa"/>
            <w:noWrap w:val="0"/>
            <w:vAlign w:val="center"/>
          </w:tcPr>
          <w:p w14:paraId="0112EB18">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3069</w:t>
            </w:r>
          </w:p>
        </w:tc>
        <w:tc>
          <w:tcPr>
            <w:tcW w:w="855" w:type="dxa"/>
            <w:noWrap w:val="0"/>
            <w:vAlign w:val="center"/>
          </w:tcPr>
          <w:p w14:paraId="5DFFA6D1">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2888</w:t>
            </w:r>
          </w:p>
        </w:tc>
        <w:tc>
          <w:tcPr>
            <w:tcW w:w="1005" w:type="dxa"/>
            <w:noWrap w:val="0"/>
            <w:vAlign w:val="center"/>
          </w:tcPr>
          <w:p w14:paraId="6C5F19D5">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1"/>
                <w:szCs w:val="21"/>
                <w:u w:val="none"/>
                <w:lang w:val="en-US" w:eastAsia="zh-CN" w:bidi="ar-SA"/>
              </w:rPr>
            </w:pPr>
          </w:p>
        </w:tc>
        <w:tc>
          <w:tcPr>
            <w:tcW w:w="431" w:type="dxa"/>
            <w:noWrap w:val="0"/>
            <w:vAlign w:val="center"/>
          </w:tcPr>
          <w:p w14:paraId="0823CBD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7DFF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57" w:type="dxa"/>
            <w:noWrap w:val="0"/>
            <w:vAlign w:val="center"/>
          </w:tcPr>
          <w:p w14:paraId="5EF130D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568" w:type="dxa"/>
            <w:noWrap w:val="0"/>
            <w:vAlign w:val="center"/>
          </w:tcPr>
          <w:p w14:paraId="09EBF05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331003020</w:t>
            </w:r>
          </w:p>
        </w:tc>
        <w:tc>
          <w:tcPr>
            <w:tcW w:w="750" w:type="dxa"/>
            <w:noWrap w:val="0"/>
            <w:vAlign w:val="center"/>
          </w:tcPr>
          <w:p w14:paraId="187C60B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结肠癌根治术</w:t>
            </w:r>
          </w:p>
        </w:tc>
        <w:tc>
          <w:tcPr>
            <w:tcW w:w="2430" w:type="dxa"/>
            <w:noWrap w:val="0"/>
            <w:vAlign w:val="center"/>
          </w:tcPr>
          <w:p w14:paraId="34ABACA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含左、右半横结肠切除、淋巴清扫。</w:t>
            </w:r>
          </w:p>
        </w:tc>
        <w:tc>
          <w:tcPr>
            <w:tcW w:w="420" w:type="dxa"/>
            <w:noWrap w:val="0"/>
            <w:vAlign w:val="center"/>
          </w:tcPr>
          <w:p w14:paraId="2C568DC3">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66032CF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580CCE9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2879</w:t>
            </w:r>
          </w:p>
        </w:tc>
        <w:tc>
          <w:tcPr>
            <w:tcW w:w="540" w:type="dxa"/>
            <w:noWrap w:val="0"/>
            <w:vAlign w:val="center"/>
          </w:tcPr>
          <w:p w14:paraId="53867A9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2735</w:t>
            </w:r>
          </w:p>
        </w:tc>
        <w:tc>
          <w:tcPr>
            <w:tcW w:w="525" w:type="dxa"/>
            <w:noWrap w:val="0"/>
            <w:vAlign w:val="center"/>
          </w:tcPr>
          <w:p w14:paraId="0E0B2FE7">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2591</w:t>
            </w:r>
          </w:p>
        </w:tc>
        <w:tc>
          <w:tcPr>
            <w:tcW w:w="525" w:type="dxa"/>
            <w:noWrap w:val="0"/>
            <w:vAlign w:val="center"/>
          </w:tcPr>
          <w:p w14:paraId="1ADA2175">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2447</w:t>
            </w:r>
          </w:p>
        </w:tc>
        <w:tc>
          <w:tcPr>
            <w:tcW w:w="855" w:type="dxa"/>
            <w:noWrap w:val="0"/>
            <w:vAlign w:val="center"/>
          </w:tcPr>
          <w:p w14:paraId="46165785">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2303</w:t>
            </w:r>
          </w:p>
        </w:tc>
        <w:tc>
          <w:tcPr>
            <w:tcW w:w="1005" w:type="dxa"/>
            <w:noWrap w:val="0"/>
            <w:vAlign w:val="center"/>
          </w:tcPr>
          <w:p w14:paraId="3D806892">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1"/>
                <w:szCs w:val="21"/>
                <w:u w:val="none"/>
                <w:lang w:val="en-US" w:eastAsia="zh-CN" w:bidi="ar-SA"/>
              </w:rPr>
            </w:pPr>
          </w:p>
        </w:tc>
        <w:tc>
          <w:tcPr>
            <w:tcW w:w="431" w:type="dxa"/>
            <w:noWrap w:val="0"/>
            <w:vAlign w:val="center"/>
          </w:tcPr>
          <w:p w14:paraId="48BB279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18DE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57" w:type="dxa"/>
            <w:noWrap w:val="0"/>
            <w:vAlign w:val="center"/>
          </w:tcPr>
          <w:p w14:paraId="0F31D94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568" w:type="dxa"/>
            <w:noWrap w:val="0"/>
            <w:vAlign w:val="center"/>
          </w:tcPr>
          <w:p w14:paraId="48065D0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331004012</w:t>
            </w:r>
          </w:p>
        </w:tc>
        <w:tc>
          <w:tcPr>
            <w:tcW w:w="750" w:type="dxa"/>
            <w:noWrap w:val="0"/>
            <w:vAlign w:val="center"/>
          </w:tcPr>
          <w:p w14:paraId="58D2F7F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经腹直肠癌根治术(Dixon手术)</w:t>
            </w:r>
          </w:p>
        </w:tc>
        <w:tc>
          <w:tcPr>
            <w:tcW w:w="2430" w:type="dxa"/>
            <w:noWrap w:val="0"/>
            <w:vAlign w:val="center"/>
          </w:tcPr>
          <w:p w14:paraId="1B28535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含保留肛门，区域淋巴结清扫；不含子宫、卵巢切除。</w:t>
            </w:r>
          </w:p>
        </w:tc>
        <w:tc>
          <w:tcPr>
            <w:tcW w:w="420" w:type="dxa"/>
            <w:noWrap w:val="0"/>
            <w:vAlign w:val="center"/>
          </w:tcPr>
          <w:p w14:paraId="6406CDAD">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555B90B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6D4CBC2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3591</w:t>
            </w:r>
          </w:p>
        </w:tc>
        <w:tc>
          <w:tcPr>
            <w:tcW w:w="540" w:type="dxa"/>
            <w:noWrap w:val="0"/>
            <w:vAlign w:val="center"/>
          </w:tcPr>
          <w:p w14:paraId="3ECC99E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3411</w:t>
            </w:r>
          </w:p>
        </w:tc>
        <w:tc>
          <w:tcPr>
            <w:tcW w:w="525" w:type="dxa"/>
            <w:noWrap w:val="0"/>
            <w:vAlign w:val="center"/>
          </w:tcPr>
          <w:p w14:paraId="3CF65203">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3232</w:t>
            </w:r>
          </w:p>
        </w:tc>
        <w:tc>
          <w:tcPr>
            <w:tcW w:w="525" w:type="dxa"/>
            <w:noWrap w:val="0"/>
            <w:vAlign w:val="center"/>
          </w:tcPr>
          <w:p w14:paraId="039F1445">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3052</w:t>
            </w:r>
          </w:p>
        </w:tc>
        <w:tc>
          <w:tcPr>
            <w:tcW w:w="855" w:type="dxa"/>
            <w:noWrap w:val="0"/>
            <w:vAlign w:val="center"/>
          </w:tcPr>
          <w:p w14:paraId="3FBF7C19">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2873</w:t>
            </w:r>
          </w:p>
        </w:tc>
        <w:tc>
          <w:tcPr>
            <w:tcW w:w="1005" w:type="dxa"/>
            <w:noWrap w:val="0"/>
            <w:vAlign w:val="center"/>
          </w:tcPr>
          <w:p w14:paraId="77A3C487">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1"/>
                <w:szCs w:val="21"/>
                <w:u w:val="none"/>
                <w:lang w:val="en-US" w:eastAsia="zh-CN" w:bidi="ar-SA"/>
              </w:rPr>
            </w:pPr>
          </w:p>
        </w:tc>
        <w:tc>
          <w:tcPr>
            <w:tcW w:w="431" w:type="dxa"/>
            <w:noWrap w:val="0"/>
            <w:vAlign w:val="center"/>
          </w:tcPr>
          <w:p w14:paraId="6EA9D02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4DE1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57" w:type="dxa"/>
            <w:noWrap w:val="0"/>
            <w:vAlign w:val="center"/>
          </w:tcPr>
          <w:p w14:paraId="49833D0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568" w:type="dxa"/>
            <w:noWrap w:val="0"/>
            <w:vAlign w:val="center"/>
          </w:tcPr>
          <w:p w14:paraId="407F4E8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331007006</w:t>
            </w:r>
          </w:p>
        </w:tc>
        <w:tc>
          <w:tcPr>
            <w:tcW w:w="750" w:type="dxa"/>
            <w:noWrap w:val="0"/>
            <w:vAlign w:val="center"/>
          </w:tcPr>
          <w:p w14:paraId="0160AD7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胰十二指肠切除术(Whipple手术)</w:t>
            </w:r>
          </w:p>
        </w:tc>
        <w:tc>
          <w:tcPr>
            <w:tcW w:w="2430" w:type="dxa"/>
            <w:noWrap w:val="0"/>
            <w:vAlign w:val="center"/>
          </w:tcPr>
          <w:p w14:paraId="26AFDF4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各种胰管空肠吻合、胃空肠吻合术、胆管肠吻合术、胰体癌或壶腹周围癌根治术分别参照执行；不含脾切除术</w:t>
            </w:r>
          </w:p>
        </w:tc>
        <w:tc>
          <w:tcPr>
            <w:tcW w:w="420" w:type="dxa"/>
            <w:noWrap w:val="0"/>
            <w:vAlign w:val="center"/>
          </w:tcPr>
          <w:p w14:paraId="499BC082">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65CF1FC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77EFD60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4750</w:t>
            </w:r>
          </w:p>
        </w:tc>
        <w:tc>
          <w:tcPr>
            <w:tcW w:w="540" w:type="dxa"/>
            <w:noWrap w:val="0"/>
            <w:vAlign w:val="center"/>
          </w:tcPr>
          <w:p w14:paraId="1100CA3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4513</w:t>
            </w:r>
          </w:p>
        </w:tc>
        <w:tc>
          <w:tcPr>
            <w:tcW w:w="525" w:type="dxa"/>
            <w:noWrap w:val="0"/>
            <w:vAlign w:val="center"/>
          </w:tcPr>
          <w:p w14:paraId="69E868F1">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4275</w:t>
            </w:r>
          </w:p>
        </w:tc>
        <w:tc>
          <w:tcPr>
            <w:tcW w:w="525" w:type="dxa"/>
            <w:noWrap w:val="0"/>
            <w:vAlign w:val="center"/>
          </w:tcPr>
          <w:p w14:paraId="6CAE1BC7">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4038</w:t>
            </w:r>
          </w:p>
        </w:tc>
        <w:tc>
          <w:tcPr>
            <w:tcW w:w="855" w:type="dxa"/>
            <w:noWrap w:val="0"/>
            <w:vAlign w:val="center"/>
          </w:tcPr>
          <w:p w14:paraId="25BFBE65">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3800</w:t>
            </w:r>
          </w:p>
        </w:tc>
        <w:tc>
          <w:tcPr>
            <w:tcW w:w="1005" w:type="dxa"/>
            <w:noWrap w:val="0"/>
            <w:vAlign w:val="center"/>
          </w:tcPr>
          <w:p w14:paraId="02C33820">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1"/>
                <w:szCs w:val="21"/>
                <w:u w:val="none"/>
                <w:lang w:val="en-US" w:eastAsia="zh-CN" w:bidi="ar-SA"/>
              </w:rPr>
            </w:pPr>
          </w:p>
        </w:tc>
        <w:tc>
          <w:tcPr>
            <w:tcW w:w="431" w:type="dxa"/>
            <w:noWrap w:val="0"/>
            <w:vAlign w:val="center"/>
          </w:tcPr>
          <w:p w14:paraId="245880E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63A9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57" w:type="dxa"/>
            <w:noWrap w:val="0"/>
            <w:vAlign w:val="center"/>
          </w:tcPr>
          <w:p w14:paraId="1ADE754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568" w:type="dxa"/>
            <w:noWrap w:val="0"/>
            <w:vAlign w:val="center"/>
          </w:tcPr>
          <w:p w14:paraId="37666E0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331301002</w:t>
            </w:r>
          </w:p>
        </w:tc>
        <w:tc>
          <w:tcPr>
            <w:tcW w:w="750" w:type="dxa"/>
            <w:noWrap w:val="0"/>
            <w:vAlign w:val="center"/>
          </w:tcPr>
          <w:p w14:paraId="7990519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卵巢囊肿剔除术</w:t>
            </w:r>
          </w:p>
        </w:tc>
        <w:tc>
          <w:tcPr>
            <w:tcW w:w="2430" w:type="dxa"/>
            <w:noWrap w:val="0"/>
            <w:vAlign w:val="center"/>
          </w:tcPr>
          <w:p w14:paraId="56C6EB3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消毒术野，铺巾，开腹，留取腹腔冲洗液，探查盆腹腔，暴露卵巢肿物，切开肿瘤包膜剥除肿瘤，可吸收线缝合卵巢，常规关腹。</w:t>
            </w:r>
          </w:p>
        </w:tc>
        <w:tc>
          <w:tcPr>
            <w:tcW w:w="420" w:type="dxa"/>
            <w:noWrap w:val="0"/>
            <w:vAlign w:val="center"/>
          </w:tcPr>
          <w:p w14:paraId="1913731D">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2288AD9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单侧</w:t>
            </w:r>
          </w:p>
        </w:tc>
        <w:tc>
          <w:tcPr>
            <w:tcW w:w="510" w:type="dxa"/>
            <w:noWrap w:val="0"/>
            <w:vAlign w:val="center"/>
          </w:tcPr>
          <w:p w14:paraId="2B53FC7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1330</w:t>
            </w:r>
          </w:p>
        </w:tc>
        <w:tc>
          <w:tcPr>
            <w:tcW w:w="540" w:type="dxa"/>
            <w:noWrap w:val="0"/>
            <w:vAlign w:val="center"/>
          </w:tcPr>
          <w:p w14:paraId="04B8CB6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1264</w:t>
            </w:r>
          </w:p>
        </w:tc>
        <w:tc>
          <w:tcPr>
            <w:tcW w:w="525" w:type="dxa"/>
            <w:noWrap w:val="0"/>
            <w:vAlign w:val="center"/>
          </w:tcPr>
          <w:p w14:paraId="78C02841">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1197</w:t>
            </w:r>
          </w:p>
        </w:tc>
        <w:tc>
          <w:tcPr>
            <w:tcW w:w="525" w:type="dxa"/>
            <w:noWrap w:val="0"/>
            <w:vAlign w:val="center"/>
          </w:tcPr>
          <w:p w14:paraId="63AE5C7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1131</w:t>
            </w:r>
          </w:p>
        </w:tc>
        <w:tc>
          <w:tcPr>
            <w:tcW w:w="855" w:type="dxa"/>
            <w:noWrap w:val="0"/>
            <w:vAlign w:val="center"/>
          </w:tcPr>
          <w:p w14:paraId="22330735">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1064</w:t>
            </w:r>
          </w:p>
        </w:tc>
        <w:tc>
          <w:tcPr>
            <w:tcW w:w="1005" w:type="dxa"/>
            <w:noWrap w:val="0"/>
            <w:vAlign w:val="center"/>
          </w:tcPr>
          <w:p w14:paraId="6FA2A2AE">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1"/>
                <w:szCs w:val="21"/>
                <w:u w:val="none"/>
                <w:lang w:val="en-US" w:eastAsia="zh-CN" w:bidi="ar-SA"/>
              </w:rPr>
            </w:pPr>
          </w:p>
        </w:tc>
        <w:tc>
          <w:tcPr>
            <w:tcW w:w="431" w:type="dxa"/>
            <w:noWrap w:val="0"/>
            <w:vAlign w:val="center"/>
          </w:tcPr>
          <w:p w14:paraId="337593B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2CAB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457" w:type="dxa"/>
            <w:noWrap w:val="0"/>
            <w:vAlign w:val="center"/>
          </w:tcPr>
          <w:p w14:paraId="7E4C3B7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568" w:type="dxa"/>
            <w:noWrap w:val="0"/>
            <w:vAlign w:val="center"/>
          </w:tcPr>
          <w:p w14:paraId="11EB639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331400002</w:t>
            </w:r>
          </w:p>
        </w:tc>
        <w:tc>
          <w:tcPr>
            <w:tcW w:w="750" w:type="dxa"/>
            <w:noWrap w:val="0"/>
            <w:vAlign w:val="center"/>
          </w:tcPr>
          <w:p w14:paraId="0EC9649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单胎顺产接生</w:t>
            </w:r>
          </w:p>
        </w:tc>
        <w:tc>
          <w:tcPr>
            <w:tcW w:w="2430" w:type="dxa"/>
            <w:noWrap w:val="0"/>
            <w:vAlign w:val="center"/>
          </w:tcPr>
          <w:p w14:paraId="4F1EFCB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含产程观察、阴道或肛门检查，胎心监测及脐带处理，会阴裂伤修补及侧切</w:t>
            </w:r>
          </w:p>
        </w:tc>
        <w:tc>
          <w:tcPr>
            <w:tcW w:w="420" w:type="dxa"/>
            <w:noWrap w:val="0"/>
            <w:vAlign w:val="center"/>
          </w:tcPr>
          <w:p w14:paraId="088FA893">
            <w:pPr>
              <w:keepNext w:val="0"/>
              <w:keepLines w:val="0"/>
              <w:pageBreakBefore w:val="0"/>
              <w:widowControl w:val="0"/>
              <w:suppressAutoHyphens/>
              <w:kinsoku/>
              <w:wordWrap/>
              <w:overflowPunct/>
              <w:topLinePunct w:val="0"/>
              <w:autoSpaceDE/>
              <w:autoSpaceDN/>
              <w:bidi w:val="0"/>
              <w:adjustRightInd w:val="0"/>
              <w:snapToGrid w:val="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w w:val="80"/>
                <w:kern w:val="0"/>
                <w:sz w:val="24"/>
                <w:szCs w:val="24"/>
                <w:u w:val="none"/>
                <w:lang w:val="en-US" w:eastAsia="zh-CN" w:bidi="ar"/>
              </w:rPr>
              <w:t>特殊的脐带夹</w:t>
            </w:r>
          </w:p>
        </w:tc>
        <w:tc>
          <w:tcPr>
            <w:tcW w:w="465" w:type="dxa"/>
            <w:noWrap w:val="0"/>
            <w:vAlign w:val="center"/>
          </w:tcPr>
          <w:p w14:paraId="03B5CB3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6E226BB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808</w:t>
            </w:r>
          </w:p>
        </w:tc>
        <w:tc>
          <w:tcPr>
            <w:tcW w:w="540" w:type="dxa"/>
            <w:noWrap w:val="0"/>
            <w:vAlign w:val="center"/>
          </w:tcPr>
          <w:p w14:paraId="7284D8C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768</w:t>
            </w:r>
          </w:p>
        </w:tc>
        <w:tc>
          <w:tcPr>
            <w:tcW w:w="525" w:type="dxa"/>
            <w:noWrap w:val="0"/>
            <w:vAlign w:val="center"/>
          </w:tcPr>
          <w:p w14:paraId="79B21FE5">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727</w:t>
            </w:r>
          </w:p>
        </w:tc>
        <w:tc>
          <w:tcPr>
            <w:tcW w:w="525" w:type="dxa"/>
            <w:noWrap w:val="0"/>
            <w:vAlign w:val="center"/>
          </w:tcPr>
          <w:p w14:paraId="6647B21F">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687</w:t>
            </w:r>
          </w:p>
        </w:tc>
        <w:tc>
          <w:tcPr>
            <w:tcW w:w="855" w:type="dxa"/>
            <w:noWrap w:val="0"/>
            <w:vAlign w:val="center"/>
          </w:tcPr>
          <w:p w14:paraId="46AADF08">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646</w:t>
            </w:r>
          </w:p>
        </w:tc>
        <w:tc>
          <w:tcPr>
            <w:tcW w:w="1005" w:type="dxa"/>
            <w:noWrap w:val="0"/>
            <w:vAlign w:val="center"/>
          </w:tcPr>
          <w:p w14:paraId="33A1EA92">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1"/>
                <w:szCs w:val="21"/>
                <w:u w:val="none"/>
                <w:lang w:val="en-US" w:eastAsia="zh-CN" w:bidi="ar-SA"/>
              </w:rPr>
            </w:pPr>
          </w:p>
        </w:tc>
        <w:tc>
          <w:tcPr>
            <w:tcW w:w="431" w:type="dxa"/>
            <w:noWrap w:val="0"/>
            <w:vAlign w:val="center"/>
          </w:tcPr>
          <w:p w14:paraId="2B32443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6F03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57" w:type="dxa"/>
            <w:noWrap w:val="0"/>
            <w:vAlign w:val="center"/>
          </w:tcPr>
          <w:p w14:paraId="7BFF00D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568" w:type="dxa"/>
            <w:noWrap w:val="0"/>
            <w:vAlign w:val="center"/>
          </w:tcPr>
          <w:p w14:paraId="6E8FB6B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331400012</w:t>
            </w:r>
          </w:p>
        </w:tc>
        <w:tc>
          <w:tcPr>
            <w:tcW w:w="750" w:type="dxa"/>
            <w:noWrap w:val="0"/>
            <w:vAlign w:val="center"/>
          </w:tcPr>
          <w:p w14:paraId="49C0D32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剖宫产术</w:t>
            </w:r>
          </w:p>
        </w:tc>
        <w:tc>
          <w:tcPr>
            <w:tcW w:w="2430" w:type="dxa"/>
            <w:noWrap w:val="0"/>
            <w:vAlign w:val="center"/>
          </w:tcPr>
          <w:p w14:paraId="1D69AD6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包括古典式、子宫下段及腹膜外剖宫取胎术。</w:t>
            </w:r>
          </w:p>
        </w:tc>
        <w:tc>
          <w:tcPr>
            <w:tcW w:w="420" w:type="dxa"/>
            <w:noWrap w:val="0"/>
            <w:vAlign w:val="center"/>
          </w:tcPr>
          <w:p w14:paraId="6048F18E">
            <w:pPr>
              <w:suppressAutoHyphens/>
              <w:bidi w:val="0"/>
              <w:snapToGrid w:val="0"/>
              <w:rPr>
                <w:rFonts w:hint="eastAsia" w:ascii="仿宋" w:hAnsi="仿宋" w:eastAsia="仿宋" w:cs="仿宋"/>
                <w:kern w:val="2"/>
                <w:sz w:val="24"/>
                <w:szCs w:val="24"/>
                <w:lang w:val="en-US" w:eastAsia="zh-CN" w:bidi="ar-SA"/>
              </w:rPr>
            </w:pPr>
          </w:p>
        </w:tc>
        <w:tc>
          <w:tcPr>
            <w:tcW w:w="465" w:type="dxa"/>
            <w:noWrap w:val="0"/>
            <w:vAlign w:val="center"/>
          </w:tcPr>
          <w:p w14:paraId="2101D8F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15937B8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1330</w:t>
            </w:r>
          </w:p>
        </w:tc>
        <w:tc>
          <w:tcPr>
            <w:tcW w:w="540" w:type="dxa"/>
            <w:noWrap w:val="0"/>
            <w:vAlign w:val="center"/>
          </w:tcPr>
          <w:p w14:paraId="57FA720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1264</w:t>
            </w:r>
          </w:p>
        </w:tc>
        <w:tc>
          <w:tcPr>
            <w:tcW w:w="525" w:type="dxa"/>
            <w:noWrap w:val="0"/>
            <w:vAlign w:val="center"/>
          </w:tcPr>
          <w:p w14:paraId="4F55F2F6">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1197</w:t>
            </w:r>
          </w:p>
        </w:tc>
        <w:tc>
          <w:tcPr>
            <w:tcW w:w="525" w:type="dxa"/>
            <w:noWrap w:val="0"/>
            <w:vAlign w:val="center"/>
          </w:tcPr>
          <w:p w14:paraId="1D8FA659">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1131</w:t>
            </w:r>
          </w:p>
        </w:tc>
        <w:tc>
          <w:tcPr>
            <w:tcW w:w="855" w:type="dxa"/>
            <w:noWrap w:val="0"/>
            <w:vAlign w:val="center"/>
          </w:tcPr>
          <w:p w14:paraId="7F0F9781">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1064</w:t>
            </w:r>
          </w:p>
        </w:tc>
        <w:tc>
          <w:tcPr>
            <w:tcW w:w="1005" w:type="dxa"/>
            <w:noWrap w:val="0"/>
            <w:vAlign w:val="center"/>
          </w:tcPr>
          <w:p w14:paraId="6566390D">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1"/>
                <w:szCs w:val="21"/>
                <w:u w:val="none"/>
                <w:lang w:val="en-US" w:eastAsia="zh-CN" w:bidi="ar-SA"/>
              </w:rPr>
            </w:pPr>
          </w:p>
        </w:tc>
        <w:tc>
          <w:tcPr>
            <w:tcW w:w="431" w:type="dxa"/>
            <w:noWrap w:val="0"/>
            <w:vAlign w:val="center"/>
          </w:tcPr>
          <w:p w14:paraId="6C6EC0B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0EB8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457" w:type="dxa"/>
            <w:noWrap w:val="0"/>
            <w:vAlign w:val="center"/>
          </w:tcPr>
          <w:p w14:paraId="7171D36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568" w:type="dxa"/>
            <w:noWrap w:val="0"/>
            <w:vAlign w:val="center"/>
          </w:tcPr>
          <w:p w14:paraId="4470DFA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331501052</w:t>
            </w:r>
          </w:p>
        </w:tc>
        <w:tc>
          <w:tcPr>
            <w:tcW w:w="750" w:type="dxa"/>
            <w:noWrap w:val="0"/>
            <w:vAlign w:val="center"/>
          </w:tcPr>
          <w:p w14:paraId="70B0B55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脊柱椎间融合器植入植骨融合术</w:t>
            </w:r>
          </w:p>
        </w:tc>
        <w:tc>
          <w:tcPr>
            <w:tcW w:w="2430" w:type="dxa"/>
            <w:noWrap w:val="0"/>
            <w:vAlign w:val="center"/>
          </w:tcPr>
          <w:p w14:paraId="2EEBFA9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含脊髓神经根松解、椎板切除减压、脊髓探查、骨折切开复位。</w:t>
            </w:r>
          </w:p>
        </w:tc>
        <w:tc>
          <w:tcPr>
            <w:tcW w:w="420" w:type="dxa"/>
            <w:noWrap w:val="0"/>
            <w:vAlign w:val="center"/>
          </w:tcPr>
          <w:p w14:paraId="54A52D27">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1CCD555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5ABB57F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3990</w:t>
            </w:r>
          </w:p>
        </w:tc>
        <w:tc>
          <w:tcPr>
            <w:tcW w:w="540" w:type="dxa"/>
            <w:noWrap w:val="0"/>
            <w:vAlign w:val="center"/>
          </w:tcPr>
          <w:p w14:paraId="210CA40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3791</w:t>
            </w:r>
          </w:p>
        </w:tc>
        <w:tc>
          <w:tcPr>
            <w:tcW w:w="525" w:type="dxa"/>
            <w:noWrap w:val="0"/>
            <w:vAlign w:val="center"/>
          </w:tcPr>
          <w:p w14:paraId="0D7C4596">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3591</w:t>
            </w:r>
          </w:p>
        </w:tc>
        <w:tc>
          <w:tcPr>
            <w:tcW w:w="525" w:type="dxa"/>
            <w:noWrap w:val="0"/>
            <w:vAlign w:val="center"/>
          </w:tcPr>
          <w:p w14:paraId="3BE1A820">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3392</w:t>
            </w:r>
          </w:p>
        </w:tc>
        <w:tc>
          <w:tcPr>
            <w:tcW w:w="855" w:type="dxa"/>
            <w:noWrap w:val="0"/>
            <w:vAlign w:val="center"/>
          </w:tcPr>
          <w:p w14:paraId="2AA4FE69">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3192</w:t>
            </w:r>
          </w:p>
        </w:tc>
        <w:tc>
          <w:tcPr>
            <w:tcW w:w="1005" w:type="dxa"/>
            <w:noWrap w:val="0"/>
            <w:vAlign w:val="center"/>
          </w:tcPr>
          <w:p w14:paraId="34D5A7E2">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1"/>
                <w:szCs w:val="21"/>
                <w:u w:val="none"/>
                <w:lang w:val="en-US" w:eastAsia="zh-CN" w:bidi="ar-SA"/>
              </w:rPr>
            </w:pPr>
          </w:p>
        </w:tc>
        <w:tc>
          <w:tcPr>
            <w:tcW w:w="431" w:type="dxa"/>
            <w:noWrap w:val="0"/>
            <w:vAlign w:val="center"/>
          </w:tcPr>
          <w:p w14:paraId="599C1F2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0A61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57" w:type="dxa"/>
            <w:noWrap w:val="0"/>
            <w:vAlign w:val="center"/>
          </w:tcPr>
          <w:p w14:paraId="7F3EFBD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568" w:type="dxa"/>
            <w:noWrap w:val="0"/>
            <w:vAlign w:val="center"/>
          </w:tcPr>
          <w:p w14:paraId="53F2265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331507005</w:t>
            </w:r>
          </w:p>
        </w:tc>
        <w:tc>
          <w:tcPr>
            <w:tcW w:w="750" w:type="dxa"/>
            <w:noWrap w:val="0"/>
            <w:vAlign w:val="center"/>
          </w:tcPr>
          <w:p w14:paraId="0C55EDD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人工全髋关节置换术</w:t>
            </w:r>
          </w:p>
        </w:tc>
        <w:tc>
          <w:tcPr>
            <w:tcW w:w="2430" w:type="dxa"/>
            <w:noWrap w:val="0"/>
            <w:vAlign w:val="center"/>
          </w:tcPr>
          <w:p w14:paraId="0C73A0A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适于髋关节器质性病变的治疗。切除病变髋关节，置换髋关节人工假体切开，保护股神经或坐骨神经，保护股动静脉，显露病变关节，脱出股骨头，准确截骨，显露髋臼，髋臼和股骨扩髓，精确安放髋臼股骨柄假体，术中用X线引导或导航。不含X线引导、导航。</w:t>
            </w:r>
          </w:p>
        </w:tc>
        <w:tc>
          <w:tcPr>
            <w:tcW w:w="420" w:type="dxa"/>
            <w:noWrap w:val="0"/>
            <w:vAlign w:val="center"/>
          </w:tcPr>
          <w:p w14:paraId="12D58F4C">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2EEFD15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1901644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3515</w:t>
            </w:r>
          </w:p>
        </w:tc>
        <w:tc>
          <w:tcPr>
            <w:tcW w:w="540" w:type="dxa"/>
            <w:noWrap w:val="0"/>
            <w:vAlign w:val="center"/>
          </w:tcPr>
          <w:p w14:paraId="77A94F0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3339</w:t>
            </w:r>
          </w:p>
        </w:tc>
        <w:tc>
          <w:tcPr>
            <w:tcW w:w="525" w:type="dxa"/>
            <w:noWrap w:val="0"/>
            <w:vAlign w:val="center"/>
          </w:tcPr>
          <w:p w14:paraId="7204514F">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3164</w:t>
            </w:r>
          </w:p>
        </w:tc>
        <w:tc>
          <w:tcPr>
            <w:tcW w:w="525" w:type="dxa"/>
            <w:noWrap w:val="0"/>
            <w:vAlign w:val="center"/>
          </w:tcPr>
          <w:p w14:paraId="164985E9">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2988</w:t>
            </w:r>
          </w:p>
        </w:tc>
        <w:tc>
          <w:tcPr>
            <w:tcW w:w="855" w:type="dxa"/>
            <w:noWrap w:val="0"/>
            <w:vAlign w:val="center"/>
          </w:tcPr>
          <w:p w14:paraId="05A10939">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2812</w:t>
            </w:r>
          </w:p>
        </w:tc>
        <w:tc>
          <w:tcPr>
            <w:tcW w:w="1005" w:type="dxa"/>
            <w:noWrap w:val="0"/>
            <w:vAlign w:val="center"/>
          </w:tcPr>
          <w:p w14:paraId="00E09B3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再置换加收20%</w:t>
            </w:r>
          </w:p>
        </w:tc>
        <w:tc>
          <w:tcPr>
            <w:tcW w:w="431" w:type="dxa"/>
            <w:noWrap w:val="0"/>
            <w:vAlign w:val="center"/>
          </w:tcPr>
          <w:p w14:paraId="780FDD9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14:paraId="2236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jc w:val="center"/>
        </w:trPr>
        <w:tc>
          <w:tcPr>
            <w:tcW w:w="457" w:type="dxa"/>
            <w:noWrap w:val="0"/>
            <w:vAlign w:val="center"/>
          </w:tcPr>
          <w:p w14:paraId="168138C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568" w:type="dxa"/>
            <w:noWrap w:val="0"/>
            <w:vAlign w:val="center"/>
          </w:tcPr>
          <w:p w14:paraId="7C8B2B1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331507007</w:t>
            </w:r>
          </w:p>
        </w:tc>
        <w:tc>
          <w:tcPr>
            <w:tcW w:w="750" w:type="dxa"/>
            <w:noWrap w:val="0"/>
            <w:vAlign w:val="center"/>
          </w:tcPr>
          <w:p w14:paraId="7A7F485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人工膝关节表面置换术</w:t>
            </w:r>
          </w:p>
        </w:tc>
        <w:tc>
          <w:tcPr>
            <w:tcW w:w="2430" w:type="dxa"/>
            <w:noWrap w:val="0"/>
            <w:vAlign w:val="center"/>
          </w:tcPr>
          <w:p w14:paraId="2FDBEE2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适于膝关节器质性病变的治疗。切除病变膝关节关节面，松解、修复病变的关节软组织，置换人工膝关节表面假体经膝关节前路切开，显露病变的膝关节，清除增生的骨赘和瘢痕，切除病变的关节滑膜，按下肢的冠状轴线、矢状轴线和膝关节的旋转轴线进行精确的截骨，根据病人关节的特点进行个性化的软组织平衡处理，调整截骨后的屈伸间隙，并使之相等，安放假体试模测试完全合适之后，使用骨水泥安装人工膝关节表面假体，用抗生素盐水加压冲洗术野，放置引流，缝合，有可能在术中使用X透视或导航。不含术中X线透视、导航。</w:t>
            </w:r>
          </w:p>
        </w:tc>
        <w:tc>
          <w:tcPr>
            <w:tcW w:w="420" w:type="dxa"/>
            <w:noWrap w:val="0"/>
            <w:vAlign w:val="center"/>
          </w:tcPr>
          <w:p w14:paraId="6A6A80EA">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eastAsia" w:ascii="仿宋" w:hAnsi="仿宋" w:eastAsia="仿宋" w:cs="仿宋"/>
                <w:i w:val="0"/>
                <w:iCs w:val="0"/>
                <w:color w:val="000000"/>
                <w:kern w:val="2"/>
                <w:sz w:val="24"/>
                <w:szCs w:val="24"/>
                <w:u w:val="none"/>
                <w:lang w:val="en-US" w:eastAsia="zh-CN" w:bidi="ar-SA"/>
              </w:rPr>
            </w:pPr>
          </w:p>
        </w:tc>
        <w:tc>
          <w:tcPr>
            <w:tcW w:w="465" w:type="dxa"/>
            <w:noWrap w:val="0"/>
            <w:vAlign w:val="center"/>
          </w:tcPr>
          <w:p w14:paraId="786A081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次</w:t>
            </w:r>
          </w:p>
        </w:tc>
        <w:tc>
          <w:tcPr>
            <w:tcW w:w="510" w:type="dxa"/>
            <w:noWrap w:val="0"/>
            <w:vAlign w:val="center"/>
          </w:tcPr>
          <w:p w14:paraId="10449D7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3515</w:t>
            </w:r>
          </w:p>
        </w:tc>
        <w:tc>
          <w:tcPr>
            <w:tcW w:w="540" w:type="dxa"/>
            <w:noWrap w:val="0"/>
            <w:vAlign w:val="center"/>
          </w:tcPr>
          <w:p w14:paraId="427E3FF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3339</w:t>
            </w:r>
          </w:p>
        </w:tc>
        <w:tc>
          <w:tcPr>
            <w:tcW w:w="525" w:type="dxa"/>
            <w:noWrap w:val="0"/>
            <w:vAlign w:val="center"/>
          </w:tcPr>
          <w:p w14:paraId="2E58FFFA">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3164</w:t>
            </w:r>
          </w:p>
        </w:tc>
        <w:tc>
          <w:tcPr>
            <w:tcW w:w="525" w:type="dxa"/>
            <w:noWrap w:val="0"/>
            <w:vAlign w:val="center"/>
          </w:tcPr>
          <w:p w14:paraId="7F984778">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2988</w:t>
            </w:r>
          </w:p>
        </w:tc>
        <w:tc>
          <w:tcPr>
            <w:tcW w:w="855" w:type="dxa"/>
            <w:noWrap w:val="0"/>
            <w:vAlign w:val="center"/>
          </w:tcPr>
          <w:p w14:paraId="70A47734">
            <w:pPr>
              <w:widowControl/>
              <w:suppressAutoHyphens/>
              <w:bidi w:val="0"/>
              <w:snapToGrid w:val="0"/>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2812</w:t>
            </w:r>
          </w:p>
        </w:tc>
        <w:tc>
          <w:tcPr>
            <w:tcW w:w="1005" w:type="dxa"/>
            <w:noWrap w:val="0"/>
            <w:vAlign w:val="center"/>
          </w:tcPr>
          <w:p w14:paraId="4428D85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再置换加收20%</w:t>
            </w:r>
          </w:p>
        </w:tc>
        <w:tc>
          <w:tcPr>
            <w:tcW w:w="431" w:type="dxa"/>
            <w:noWrap w:val="0"/>
            <w:vAlign w:val="center"/>
          </w:tcPr>
          <w:p w14:paraId="6911F38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bl>
    <w:p w14:paraId="05EC44E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3"/>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4674A"/>
    <w:rsid w:val="019E71BD"/>
    <w:rsid w:val="02AC1230"/>
    <w:rsid w:val="044602F9"/>
    <w:rsid w:val="04B679C3"/>
    <w:rsid w:val="04CE3D21"/>
    <w:rsid w:val="05EB588B"/>
    <w:rsid w:val="080F63D8"/>
    <w:rsid w:val="09341458"/>
    <w:rsid w:val="0A726EFC"/>
    <w:rsid w:val="0B0912D7"/>
    <w:rsid w:val="0B7D65FC"/>
    <w:rsid w:val="0F684819"/>
    <w:rsid w:val="13C97BD1"/>
    <w:rsid w:val="150B70BC"/>
    <w:rsid w:val="152D2DCA"/>
    <w:rsid w:val="17F80DFF"/>
    <w:rsid w:val="17FF6A0B"/>
    <w:rsid w:val="19C16B1D"/>
    <w:rsid w:val="1DEC284C"/>
    <w:rsid w:val="1E6523AC"/>
    <w:rsid w:val="22440422"/>
    <w:rsid w:val="23DF164F"/>
    <w:rsid w:val="24F44C86"/>
    <w:rsid w:val="26CD07B6"/>
    <w:rsid w:val="27077982"/>
    <w:rsid w:val="277D5407"/>
    <w:rsid w:val="27A4603E"/>
    <w:rsid w:val="290D2324"/>
    <w:rsid w:val="2B6F5066"/>
    <w:rsid w:val="2BBD07DD"/>
    <w:rsid w:val="2F875074"/>
    <w:rsid w:val="31A15F24"/>
    <w:rsid w:val="3341378C"/>
    <w:rsid w:val="341C55D6"/>
    <w:rsid w:val="357C5AB6"/>
    <w:rsid w:val="35A26038"/>
    <w:rsid w:val="35C34A7B"/>
    <w:rsid w:val="36E25286"/>
    <w:rsid w:val="377226CE"/>
    <w:rsid w:val="38EA6674"/>
    <w:rsid w:val="38EF5400"/>
    <w:rsid w:val="395347B5"/>
    <w:rsid w:val="39A232A0"/>
    <w:rsid w:val="39E745AA"/>
    <w:rsid w:val="3AF7A775"/>
    <w:rsid w:val="3B5A6BBB"/>
    <w:rsid w:val="3C1C10A8"/>
    <w:rsid w:val="3C340332"/>
    <w:rsid w:val="3CECFB30"/>
    <w:rsid w:val="3EDA13A6"/>
    <w:rsid w:val="3FBF015B"/>
    <w:rsid w:val="3FE32525"/>
    <w:rsid w:val="3FEDB706"/>
    <w:rsid w:val="3FFFD2C6"/>
    <w:rsid w:val="40F74769"/>
    <w:rsid w:val="41BF76FA"/>
    <w:rsid w:val="42F058B7"/>
    <w:rsid w:val="436109F6"/>
    <w:rsid w:val="441A38D4"/>
    <w:rsid w:val="47D77554"/>
    <w:rsid w:val="4A5B63C5"/>
    <w:rsid w:val="4B4663AD"/>
    <w:rsid w:val="4BC77339"/>
    <w:rsid w:val="4C894BF7"/>
    <w:rsid w:val="4C9236C5"/>
    <w:rsid w:val="505C172E"/>
    <w:rsid w:val="510977E7"/>
    <w:rsid w:val="52C84ED8"/>
    <w:rsid w:val="52F46F0B"/>
    <w:rsid w:val="538F483E"/>
    <w:rsid w:val="53D8014D"/>
    <w:rsid w:val="55DA73FC"/>
    <w:rsid w:val="55E064E0"/>
    <w:rsid w:val="56B57E6A"/>
    <w:rsid w:val="572C6D10"/>
    <w:rsid w:val="5C6A1A2D"/>
    <w:rsid w:val="5D656145"/>
    <w:rsid w:val="5DC34279"/>
    <w:rsid w:val="5EBFF57E"/>
    <w:rsid w:val="5EFF1C82"/>
    <w:rsid w:val="5F4A1193"/>
    <w:rsid w:val="5F733D2E"/>
    <w:rsid w:val="5FFF3173"/>
    <w:rsid w:val="608816D1"/>
    <w:rsid w:val="60EF4E7F"/>
    <w:rsid w:val="61E22584"/>
    <w:rsid w:val="629D8E0A"/>
    <w:rsid w:val="62F1424F"/>
    <w:rsid w:val="637B1AF3"/>
    <w:rsid w:val="66377F53"/>
    <w:rsid w:val="665233C1"/>
    <w:rsid w:val="66B10893"/>
    <w:rsid w:val="67A020DA"/>
    <w:rsid w:val="67A91325"/>
    <w:rsid w:val="67F3476A"/>
    <w:rsid w:val="68914293"/>
    <w:rsid w:val="689B465B"/>
    <w:rsid w:val="6AD9688B"/>
    <w:rsid w:val="6B2A1020"/>
    <w:rsid w:val="6BFE0CED"/>
    <w:rsid w:val="6D0E3F22"/>
    <w:rsid w:val="6DFD9271"/>
    <w:rsid w:val="6FFD085F"/>
    <w:rsid w:val="73B05764"/>
    <w:rsid w:val="75FD9FF7"/>
    <w:rsid w:val="776D9A4A"/>
    <w:rsid w:val="79496B3A"/>
    <w:rsid w:val="7B2F89FD"/>
    <w:rsid w:val="7B9006AC"/>
    <w:rsid w:val="7C9011D9"/>
    <w:rsid w:val="7DC651C5"/>
    <w:rsid w:val="7DFCC429"/>
    <w:rsid w:val="7E0432E2"/>
    <w:rsid w:val="7EDAE488"/>
    <w:rsid w:val="7F4E7FC4"/>
    <w:rsid w:val="7FA77AA0"/>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w:basedOn w:val="1"/>
    <w:semiHidden/>
    <w:qFormat/>
    <w:uiPriority w:val="99"/>
    <w:pPr>
      <w:spacing w:after="120"/>
      <w:ind w:left="420" w:leftChars="200"/>
    </w:pPr>
  </w:style>
  <w:style w:type="paragraph" w:styleId="10">
    <w:name w:val="Plain Text"/>
    <w:basedOn w:val="1"/>
    <w:qFormat/>
    <w:uiPriority w:val="0"/>
    <w:rPr>
      <w:rFonts w:ascii="Calibri" w:hAnsi="Calibri"/>
      <w:szCs w:val="21"/>
    </w:r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link w:val="26"/>
    <w:qFormat/>
    <w:uiPriority w:val="0"/>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jc w:val="center"/>
      <w:outlineLvl w:val="0"/>
    </w:pPr>
    <w:rPr>
      <w:rFonts w:ascii="Arial" w:hAnsi="Arial" w:eastAsia="宋体"/>
      <w:b/>
    </w:rPr>
  </w:style>
  <w:style w:type="paragraph" w:styleId="18">
    <w:name w:val="Body Text First Indent"/>
    <w:basedOn w:val="7"/>
    <w:qFormat/>
    <w:uiPriority w:val="0"/>
    <w:pPr>
      <w:spacing w:after="0"/>
      <w:ind w:firstLine="420"/>
    </w:pPr>
    <w:rPr>
      <w:sz w:val="32"/>
    </w:rPr>
  </w:style>
  <w:style w:type="paragraph" w:styleId="19">
    <w:name w:val="Body Text First Indent 2"/>
    <w:basedOn w:val="9"/>
    <w:qFormat/>
    <w:uiPriority w:val="99"/>
    <w:pPr>
      <w:ind w:firstLine="420" w:firstLineChars="2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6">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semiHidden/>
    <w:qFormat/>
    <w:uiPriority w:val="0"/>
    <w:rPr>
      <w:rFonts w:eastAsia="方正仿宋_GBK"/>
      <w:kern w:val="2"/>
      <w:sz w:val="32"/>
      <w:szCs w:val="32"/>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公文正文"/>
    <w:basedOn w:val="31"/>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1">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 w:type="character" w:customStyle="1" w:styleId="32">
    <w:name w:val="font11"/>
    <w:basedOn w:val="22"/>
    <w:qFormat/>
    <w:uiPriority w:val="0"/>
    <w:rPr>
      <w:rFonts w:hint="eastAsia" w:ascii="宋体" w:hAnsi="宋体" w:eastAsia="宋体" w:cs="宋体"/>
      <w:color w:val="000000"/>
      <w:sz w:val="24"/>
      <w:szCs w:val="24"/>
      <w:u w:val="none"/>
    </w:rPr>
  </w:style>
  <w:style w:type="character" w:customStyle="1" w:styleId="33">
    <w:name w:val="font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1295</Words>
  <Characters>1323</Characters>
  <Lines>5</Lines>
  <Paragraphs>1</Paragraphs>
  <TotalTime>3</TotalTime>
  <ScaleCrop>false</ScaleCrop>
  <LinksUpToDate>false</LinksUpToDate>
  <CharactersWithSpaces>1349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2025-05-09T03:50:38Z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