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26A2">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13D49C40">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46DEF7DE">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关于制定部分医疗服务项目政府指导价的通知</w:t>
      </w:r>
    </w:p>
    <w:p w14:paraId="14D1DD91">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黄医保〔2022〕28号</w:t>
      </w:r>
    </w:p>
    <w:p w14:paraId="3E0F0A70">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textAlignment w:val="auto"/>
        <w:rPr>
          <w:rFonts w:hint="default" w:ascii="Times New Roman" w:hAnsi="Times New Roman" w:eastAsia="方正仿宋_GBK" w:cs="Times New Roman"/>
          <w:color w:val="000000"/>
          <w:sz w:val="32"/>
          <w:szCs w:val="32"/>
          <w:lang w:eastAsia="zh-CN"/>
        </w:rPr>
      </w:pPr>
    </w:p>
    <w:p w14:paraId="35295861">
      <w:pPr>
        <w:pStyle w:val="1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各区县医疗保障局、卫生健康委，市属公立医疗机构，局属各单位：</w:t>
      </w:r>
      <w:r>
        <w:rPr>
          <w:rFonts w:hint="default" w:ascii="Times New Roman" w:hAnsi="Times New Roman" w:eastAsia="方正仿宋_GBK" w:cs="Times New Roman"/>
          <w:i w:val="0"/>
          <w:iCs w:val="0"/>
          <w:caps w:val="0"/>
          <w:color w:val="000000"/>
          <w:spacing w:val="0"/>
          <w:sz w:val="32"/>
          <w:szCs w:val="32"/>
          <w:shd w:val="clear" w:fill="FFFFFF"/>
        </w:rPr>
        <w:t> </w:t>
      </w:r>
    </w:p>
    <w:p w14:paraId="1544C3FC">
      <w:pPr>
        <w:pStyle w:val="1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为促进医疗技术进步与发展，满足广大群众的医疗需求，根据《安徽省医疗保障局 安徽省卫生健康委员会关于制定部分医疗服务价格项目政府指导价的通知》（皖医保秘〔2022〕13号）和《安徽省医疗保障局 安徽省卫生健康委员会 安徽省财政厅 安徽省市场监督管理局关于做好当前医疗服务价格动态调整工作的通知》（皖医保秘〔2021〕74号）等规定，对32个医疗服务项目制定政府指导价，现就有关事项通知如下：</w:t>
      </w:r>
    </w:p>
    <w:p w14:paraId="66CCD74C">
      <w:pPr>
        <w:pStyle w:val="1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一、32个医疗服务项目政府指导价及医保支付类型见附件，项目价格为全市各级公立医疗机构最高政府指导价，不得上浮。</w:t>
      </w:r>
    </w:p>
    <w:p w14:paraId="663C67C6">
      <w:pPr>
        <w:pStyle w:val="1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市医疗保障基金管理中心要会同市医疗保障基金使用监管中心做好系统更新维护工作；各级各类公立医疗机构应主动做好医疗服务价格公示，自觉接受患者和社会各方面的监督；执行中发现的重大问题，应及时向市医疗保障局、市卫生健康委报告。</w:t>
      </w:r>
    </w:p>
    <w:p w14:paraId="59C1E3ED">
      <w:pPr>
        <w:pStyle w:val="1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三、本通知自2022年4月25日起执行。</w:t>
      </w:r>
    </w:p>
    <w:p w14:paraId="62A0469B">
      <w:pPr>
        <w:pStyle w:val="1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25F5A18E">
      <w:pPr>
        <w:pStyle w:val="1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6073D9DA">
      <w:pPr>
        <w:pStyle w:val="1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附件：部分医疗服务项目政府指导价及医保支付类型</w:t>
      </w:r>
    </w:p>
    <w:p w14:paraId="579CEA42">
      <w:pPr>
        <w:pStyle w:val="1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1B90B07B">
      <w:pPr>
        <w:pStyle w:val="1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  </w:t>
      </w:r>
    </w:p>
    <w:p w14:paraId="13C14DE2">
      <w:pPr>
        <w:pStyle w:val="1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960" w:firstLineChars="3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黄山市医疗保障局          黄山市卫生健康委员会</w:t>
      </w:r>
    </w:p>
    <w:p w14:paraId="33FCE2E8">
      <w:pPr>
        <w:pStyle w:val="15"/>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90" w:lineRule="exact"/>
        <w:ind w:right="0" w:firstLine="4800" w:firstLineChars="15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2022年4月19日</w:t>
      </w:r>
    </w:p>
    <w:p w14:paraId="7C925988">
      <w:pPr>
        <w:keepNext w:val="0"/>
        <w:keepLines w:val="0"/>
        <w:widowControl/>
        <w:suppressLineNumbers w:val="0"/>
        <w:jc w:val="left"/>
      </w:pPr>
    </w:p>
    <w:p w14:paraId="60999FC1">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472EED9B">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5ADFAB9C">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380C2455">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732065DB">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33E178CF">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23600305">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00C82A4E">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5EA6DE2A">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419D4C39">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0E476001">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1AF50C70">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27AFCE05">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08130F73">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3267250C">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2FB2CCF8">
      <w:pPr>
        <w:pStyle w:val="15"/>
        <w:keepNext w:val="0"/>
        <w:keepLines w:val="0"/>
        <w:widowControl/>
        <w:suppressLineNumbers w:val="0"/>
        <w:shd w:val="clear" w:fill="FFFFFF"/>
        <w:spacing w:before="0" w:beforeAutospacing="0" w:after="0" w:afterAutospacing="0"/>
        <w:ind w:left="0" w:right="0" w:firstLine="0"/>
        <w:jc w:val="left"/>
        <w:rPr>
          <w:rFonts w:hint="default" w:ascii="仿_GB2312" w:hAnsi="仿_GB2312" w:eastAsia="仿_GB2312" w:cs="仿_GB2312"/>
          <w:i w:val="0"/>
          <w:iCs w:val="0"/>
          <w:caps w:val="0"/>
          <w:color w:val="000000"/>
          <w:spacing w:val="0"/>
          <w:sz w:val="32"/>
          <w:szCs w:val="32"/>
          <w:shd w:val="clear" w:fill="FFFFFF"/>
        </w:rPr>
      </w:pPr>
    </w:p>
    <w:p w14:paraId="3DB72AF5">
      <w:pPr>
        <w:pStyle w:val="15"/>
        <w:keepNext w:val="0"/>
        <w:keepLines w:val="0"/>
        <w:widowControl/>
        <w:suppressLineNumbers w:val="0"/>
        <w:shd w:val="clear" w:fill="FFFFFF"/>
        <w:spacing w:before="0" w:beforeAutospacing="0" w:after="0" w:afterAutospacing="0"/>
        <w:ind w:left="0" w:right="0" w:firstLine="0"/>
        <w:jc w:val="left"/>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rPr>
        <w:t>附件</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w:t>
      </w:r>
    </w:p>
    <w:p w14:paraId="585ADA1D">
      <w:pPr>
        <w:pStyle w:val="15"/>
        <w:keepNext w:val="0"/>
        <w:keepLines w:val="0"/>
        <w:widowControl/>
        <w:suppressLineNumbers w:val="0"/>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宋体" w:hAnsi="宋体" w:eastAsia="宋体" w:cs="宋体"/>
          <w:b/>
          <w:bCs/>
          <w:i w:val="0"/>
          <w:iCs w:val="0"/>
          <w:caps w:val="0"/>
          <w:color w:val="000000"/>
          <w:spacing w:val="0"/>
          <w:sz w:val="44"/>
          <w:szCs w:val="44"/>
          <w:shd w:val="clear" w:fill="FFFFFF"/>
        </w:rPr>
        <w:t>部分医疗服务项目政府指导价及医保支付类型</w:t>
      </w:r>
    </w:p>
    <w:tbl>
      <w:tblPr>
        <w:tblW w:w="10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37"/>
        <w:gridCol w:w="1140"/>
        <w:gridCol w:w="1485"/>
        <w:gridCol w:w="2445"/>
        <w:gridCol w:w="510"/>
        <w:gridCol w:w="1275"/>
        <w:gridCol w:w="465"/>
        <w:gridCol w:w="555"/>
        <w:gridCol w:w="510"/>
        <w:gridCol w:w="570"/>
        <w:gridCol w:w="495"/>
        <w:gridCol w:w="733"/>
      </w:tblGrid>
      <w:tr w14:paraId="394AD4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3577CC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序号</w:t>
            </w:r>
          </w:p>
        </w:tc>
        <w:tc>
          <w:tcPr>
            <w:tcW w:w="114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D0F8A1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项目编码</w:t>
            </w:r>
          </w:p>
        </w:tc>
        <w:tc>
          <w:tcPr>
            <w:tcW w:w="148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B5CE70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项目名称</w:t>
            </w:r>
          </w:p>
        </w:tc>
        <w:tc>
          <w:tcPr>
            <w:tcW w:w="244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6A21C1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项目内涵</w:t>
            </w:r>
          </w:p>
        </w:tc>
        <w:tc>
          <w:tcPr>
            <w:tcW w:w="51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52542C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内涵一次性耗材</w:t>
            </w:r>
          </w:p>
        </w:tc>
        <w:tc>
          <w:tcPr>
            <w:tcW w:w="127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222708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除外内容</w:t>
            </w:r>
          </w:p>
        </w:tc>
        <w:tc>
          <w:tcPr>
            <w:tcW w:w="46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98704B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计价单位</w:t>
            </w:r>
          </w:p>
        </w:tc>
        <w:tc>
          <w:tcPr>
            <w:tcW w:w="55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04766E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三级医院价格（元）</w:t>
            </w:r>
          </w:p>
        </w:tc>
        <w:tc>
          <w:tcPr>
            <w:tcW w:w="51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FDD5C4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二级医院价格（元）</w:t>
            </w:r>
          </w:p>
        </w:tc>
        <w:tc>
          <w:tcPr>
            <w:tcW w:w="5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35707A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一级及以下医院价格（元）</w:t>
            </w:r>
          </w:p>
        </w:tc>
        <w:tc>
          <w:tcPr>
            <w:tcW w:w="495"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178C10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计价说明</w:t>
            </w:r>
          </w:p>
        </w:tc>
        <w:tc>
          <w:tcPr>
            <w:tcW w:w="733"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A07970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医保支付</w:t>
            </w:r>
          </w:p>
          <w:p w14:paraId="53B0EC1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bCs/>
                <w:color w:val="000000"/>
                <w:sz w:val="24"/>
                <w:szCs w:val="24"/>
              </w:rPr>
              <w:t>类型</w:t>
            </w:r>
          </w:p>
        </w:tc>
      </w:tr>
      <w:tr w14:paraId="768BDE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8377E3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8A040C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EDCZZ003</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16FA07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超声弹性成像检查</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74B032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在二维及彩色多普勒等常规超声基础上补充病灶部位的弹性检查。配有医学超生影像工作站进行标准切面及可疑图像留存，并作出诊断、图文报告。包括乳腺触诊成像。</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3FDFB5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2.耦合剂</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C17FA2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A2287F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E76A7D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bookmarkStart w:id="0" w:name="_GoBack"/>
            <w:bookmarkEnd w:id="0"/>
            <w:r>
              <w:rPr>
                <w:rFonts w:hint="default" w:ascii="Times New Roman" w:hAnsi="Times New Roman" w:eastAsia="方正仿宋_GBK" w:cs="Times New Roman"/>
                <w:color w:val="000000"/>
                <w:sz w:val="24"/>
                <w:szCs w:val="24"/>
                <w:shd w:val="clear" w:fill="FFFFFF"/>
              </w:rPr>
              <w:t>26</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73143D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23</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836473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21</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98933D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87CC6C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color w:val="000000"/>
                <w:sz w:val="24"/>
                <w:szCs w:val="24"/>
                <w:shd w:val="clear" w:fill="FFFFFF"/>
              </w:rPr>
            </w:pPr>
            <w:r>
              <w:rPr>
                <w:rFonts w:hint="default" w:ascii="Times New Roman" w:hAnsi="Times New Roman" w:eastAsia="方正仿宋_GBK" w:cs="Times New Roman"/>
                <w:color w:val="000000"/>
                <w:sz w:val="24"/>
                <w:szCs w:val="24"/>
                <w:shd w:val="clear" w:fill="FFFFFF"/>
              </w:rPr>
              <w:t>部分支付</w:t>
            </w:r>
          </w:p>
        </w:tc>
      </w:tr>
      <w:tr w14:paraId="1229CF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5055B6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E91B56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CEDN2000</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F84D9B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人血浆脂蛋白相关磷脂酶A2检测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58FBD7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样品类型：血液。样本采集、签收、处理，加免疫试剂，温育，检测，质控，审核结果，录入实验室信息系统或人工登记，发送报告；按规定处理废弃物；接受临床相关咨询。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476159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2.试剂</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DBE70A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0B14D1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81E0CA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168</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C782D7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151</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292018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136</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FF644D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D26846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5F12B7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F7E17B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763AD1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FUA01704</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A713A2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高通量基因测序产前筛查与诊断</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9454FC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本类型：血液。样本采集、签收、处理。通过高通量测序技术，对孕妇外周血中的胎儿游离DNA进行检测，分析检测微量变化，获得染色体数目的信息，对21三体综合征、18三体综合征和13三体综合征进行产前辅助诊断。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40028E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3F58A0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F1F0E0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03AB8F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950</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49F34E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855</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5DF94E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770</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54B09B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57BF4E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136CFD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F1EDA4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52EAD6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CCBY2000</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F517E4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前列腺小体外泄蛋白（PSEP）检测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D44E94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样本类别：尿液。样本采集、签收、处理，加免疫试剂，温育，仪器定量测定，审核结果，录入实验室信息系统或人工登记，发送报告；按规定处理废弃物；接受临床相关咨询。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D49DAC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2.试剂，质控品</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6FB68B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DB3AB7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3C6753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141</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34D5A2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127</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91FFF0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114</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49D87B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0D7169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6CBCE9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2C2EB1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8D2754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FKA05711</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4E5952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无创血红蛋白连续监测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FF26E6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利用无创技术连续测量患者总血红蛋白(SpHb)、碳氧血红蛋白(SpCO)、高铁血红蛋白(SpMet)、血氧饱和度（SpO2）和血流灌注指数（PI）等。</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467C37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8A64CB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传感器</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90AB9A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593333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33</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20C9D9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30</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2A98AF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27</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F3947E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E3FA27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6C4194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BDA5F5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53C8F8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CEEL1000</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BEB69E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中</w:t>
            </w:r>
            <w:r>
              <w:rPr>
                <w:rFonts w:hint="default" w:ascii="Times New Roman" w:hAnsi="Times New Roman" w:eastAsia="方正仿宋_GBK" w:cs="Times New Roman"/>
                <w:color w:val="000000"/>
                <w:spacing w:val="-6"/>
                <w:sz w:val="24"/>
                <w:szCs w:val="24"/>
                <w:shd w:val="clear" w:fill="FFFFFF"/>
              </w:rPr>
              <w:t>性粒细胞明胶酶相关脂质运载蛋白（NGAL）检测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EF9E2C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样本类别：血液。样本采集、签收、处理，定标和质控，检测样本，审核结果，录入实验室信息系统或人工登记，发送报告；按规定处理废弃物；接受临床相关咨询。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0C22BF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1.试剂</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4564EF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4E19C1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516E0A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157</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024AA2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141</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EAAC40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127</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6FFF20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62D09F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部分支付</w:t>
            </w:r>
          </w:p>
        </w:tc>
      </w:tr>
      <w:tr w14:paraId="0A777B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BA9EDD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31F7E3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EDCUE005</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C8ABE7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早孕期胎儿结构筛查</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BB3C3C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对11-14周胎儿头颅、脊柱、胸部、腹部、四肢等部分结构检查（包含NT值及静脉导管血流评估）。配有医学超声影像工作站进行标准切面及可疑图像留存，并作出诊断、图文报告。</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889C66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2.耦合剂</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133260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0566B6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每胎</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92832C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171</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E5FADB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154</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F50E57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139</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65F92F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92018D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不予支付</w:t>
            </w:r>
          </w:p>
        </w:tc>
      </w:tr>
      <w:tr w14:paraId="62DF8C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0DC483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8</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D87A67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EDCUE007</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FF6F5E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晚孕期常规产前超声检查（产前Ⅱ级超声检查）</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78FC00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对28-34周周胎儿头颅、脊柱、胸部、腹部、四肢等部分结构检查。配有医学超声影像工作站进行标准切面及可疑图像留存，并作出诊断、图文报告。</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B12302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2.耦合剂</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EF69EC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533D47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每胎</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80B905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160</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D0B94D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144</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4180D7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130</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0B6609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B46F94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不予支付</w:t>
            </w:r>
          </w:p>
        </w:tc>
      </w:tr>
      <w:tr w14:paraId="58BC2B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82CF50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AF3516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FPB07603</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916090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窄带成像内镜</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3D82DB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具窄带成像功能的内镜，外形和常规操作与普通内镜基本一致</w:t>
            </w:r>
            <w:r>
              <w:rPr>
                <w:rFonts w:hint="default" w:ascii="Times New Roman" w:hAnsi="Times New Roman" w:eastAsia="方正仿宋_GBK" w:cs="Times New Roman"/>
                <w:color w:val="000000"/>
                <w:spacing w:val="-6"/>
                <w:sz w:val="24"/>
                <w:szCs w:val="24"/>
                <w:shd w:val="clear" w:fill="FFFFFF"/>
              </w:rPr>
              <w:t>，在操作中可随时切换至窄带成像内镜模式观察病灶，能更清晰地了解病灶表面的黏膜凹窝形态及血管等，方便对病灶进行定性与靶向活检。</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8385C3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C3A614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D09C6B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EEFC8A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184</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5E6DD6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166</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F5197C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149</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365290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0E2490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不予支付</w:t>
            </w:r>
          </w:p>
        </w:tc>
      </w:tr>
      <w:tr w14:paraId="1E4B67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8CB504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10</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E3490D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HMD62203</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177FC9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植入式给药装置置入术</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6778F0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消毒铺巾，麻醉，皮肤切开，扩张皮下，穿刺置管，留管接港，肝素盐水封管，皮肤缝合。人工报告。不含监护、DSA引导。</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20EE22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9A517B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11"/>
                <w:sz w:val="24"/>
                <w:szCs w:val="24"/>
                <w:shd w:val="clear" w:fill="FFFFFF"/>
              </w:rPr>
              <w:t>中心静脉导管，植入式给药装置，导丝，血管鞘，特殊缝线。</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CF616E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B68300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701</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B87F7A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631</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07B3EE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568</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536B82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66979B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完全支付</w:t>
            </w:r>
          </w:p>
        </w:tc>
      </w:tr>
      <w:tr w14:paraId="4A9A71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728B39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11</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DB9D69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CCCG3000</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9AA6D2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钙卫蛋白检测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09B564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样本类别：粪便。样本采集、签收、处理，定标和质控，检测样本，审核结果，录入实验室信息系统或人工登记，发送报告；按规定处理废弃物；接受临床相关咨询。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558695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2.试剂</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2596A6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B55FB8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322610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135</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D01288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122</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391BF0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110</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85F8F9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3624F8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30E567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EE9F1F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12</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814CCB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LADZY005</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E85BD6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螺旋断层放射</w:t>
            </w:r>
            <w:r>
              <w:rPr>
                <w:rFonts w:hint="default" w:ascii="Times New Roman" w:hAnsi="Times New Roman" w:eastAsia="方正仿宋_GBK" w:cs="Times New Roman"/>
                <w:color w:val="000000"/>
                <w:spacing w:val="-11"/>
                <w:sz w:val="24"/>
                <w:szCs w:val="24"/>
                <w:shd w:val="clear" w:fill="FFFFFF"/>
              </w:rPr>
              <w:t>(T</w:t>
            </w:r>
            <w:r>
              <w:rPr>
                <w:rFonts w:hint="default" w:ascii="Times New Roman" w:hAnsi="Times New Roman" w:eastAsia="方正仿宋_GBK" w:cs="Times New Roman"/>
                <w:color w:val="000000"/>
                <w:spacing w:val="-6"/>
                <w:sz w:val="24"/>
                <w:szCs w:val="24"/>
                <w:shd w:val="clear" w:fill="FFFFFF"/>
              </w:rPr>
              <w:t>omoTherapy</w:t>
            </w:r>
            <w:r>
              <w:rPr>
                <w:rFonts w:hint="default" w:ascii="Times New Roman" w:hAnsi="Times New Roman" w:eastAsia="方正仿宋_GBK" w:cs="Times New Roman"/>
                <w:color w:val="000000"/>
                <w:spacing w:val="-11"/>
                <w:sz w:val="24"/>
                <w:szCs w:val="24"/>
                <w:shd w:val="clear" w:fill="FFFFFF"/>
              </w:rPr>
              <w:t>)</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4DF398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调用治疗计划、摆位、治疗前的图像引导、机器操作和照射治疗。包括常规分次调强治疗、全身断层调强放疗、大剂量小分次调强治疗。</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048773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8AB66A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83717B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BA7A9F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4983</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C62648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4485</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6F820F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4037</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AFC983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D89E01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5290A2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61EFAB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13</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5A21F8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FKA03716</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9D800B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立体/正交心电图检查</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625C78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皮肤清洁处理，安放电极片，连接导联，采集立体心电图、心电向量图、正交心电图、心室晚电位、常规心电图等信息，人工报告。</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5718BE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1.电极</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2C2186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A9E2F4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0E16A6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209</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FCD818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188</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E5D6FD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169</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1A9567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CBC1A7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659F06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75C5AA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14</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74E930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CGDB2000</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7EBD35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抗肌炎抗体谱检测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DDB3D9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样本类型：血液。样本采集、签收、处理，加免疫试剂，温育，检测，质控，审核结果，录入实验室信息系统或人工登记，发送报告；按规定处理废弃物；接受临床相关咨询。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2DF4EE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温育槽2.试剂，质控液</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4E942E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15D1EA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13D0E7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478</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9A4FE2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430</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0F0A50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387</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630441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08EC54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661CEC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847E34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15</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06600A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CGSD1001</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60A397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热休克蛋白90α（Hsp90α）定量检测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43E60F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样本类型：血液。样本采集，加入定量热休克蛋白90α检测试剂进行检测,辅助诊断被检测者的患癌风险，质控，审核结果，录入实验室信息系统或人工登记，发送报告；按规定处理废弃物；接受临床相关咨询。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0D7005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9B09FC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5A0482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9CA687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247</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28A6AC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222</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614D3C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200</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4283BB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408984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64F053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C8F446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16</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5D672F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HAC62102</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2BA893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鞘内镇痛系统植入术</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94CF37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开放静脉，心电监护，侧卧胸膝位，定位，消毒、铺巾，局部麻醉，穿刺至蛛网膜下腔，导丝引导导管植入，麻醉药物推入，麻醉平面良好后，将输注系统埋入患者皮下，用皮下隧道方式将导管与输注系统相连接，缝合皮肤，贴敷贴，术后卧床监护6小时。</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B36601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7D591F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静</w:t>
            </w:r>
            <w:r>
              <w:rPr>
                <w:rFonts w:hint="default" w:ascii="Times New Roman" w:hAnsi="Times New Roman" w:eastAsia="方正仿宋_GBK" w:cs="Times New Roman"/>
                <w:color w:val="000000"/>
                <w:spacing w:val="-6"/>
                <w:sz w:val="24"/>
                <w:szCs w:val="24"/>
                <w:shd w:val="clear" w:fill="FFFFFF"/>
              </w:rPr>
              <w:t>脉通道，鞘内植入系统（内含：穿刺包，16G无损伤脊柱穿刺针，皮下硅胶囊，永久性植入性蛛网膜下腔导管，永久性植入性硬膜外腔导管，皮下隧道专用导引杆，无阻尼注射器，囊袋专用手术刀（圆刀和尖刀），冈体固定板手，防逆流接头，外置式蝶形针，外接式自控镇痛装置。速即纱，组织胶水，特殊缝</w:t>
            </w:r>
            <w:r>
              <w:rPr>
                <w:rFonts w:hint="default" w:ascii="Times New Roman" w:hAnsi="Times New Roman" w:eastAsia="方正仿宋_GBK" w:cs="Times New Roman"/>
                <w:color w:val="000000"/>
                <w:sz w:val="24"/>
                <w:szCs w:val="24"/>
                <w:shd w:val="clear" w:fill="FFFFFF"/>
              </w:rPr>
              <w:t>线）。</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2939A4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7C8D36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1121</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FEC9F7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1009</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03B01E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908</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1F56FB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96F633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4FBFB2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794A22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17</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60358C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FPD02602</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0355F6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经内镜黏膜剥除术(ESD)</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6DFB40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插入内镜寻找病变、染色确定病变的边界（包括光学染色和化学染色）、病灶边界的标记、病灶部位的粘膜下注射、表面黏膜高频电刀切开、粘膜下剥离、术中、术后止血（包括电凝止血及止血夹止血）、病灶的切除、创面的缝合、穿孔部位的修补及图文报告。</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0DB549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7ADE5B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一次性内镜黏膜切开刀、高频止血钳、注射针、金属夹、圈套器</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2246FF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FA6AAB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2185</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569368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1967</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5CCAE0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1770</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1CFB67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38C061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1FCC06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111A71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18</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8BB29F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pacing w:val="-6"/>
                <w:sz w:val="24"/>
                <w:szCs w:val="24"/>
                <w:shd w:val="clear" w:fill="FFFFFF"/>
              </w:rPr>
              <w:t>CGCW1001</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A7547C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血管内皮生长因子检测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977F3A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样本类别：血液。样本采集、签收、处理，定标和质控，检测样本，审核结果，录入实验室信息系统或人工登记，发送报告；按规定处理废弃物；接受临床相关咨询。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1E4116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2.试剂</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61D370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6AE530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5A5683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247</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09A945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222</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E097D4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200</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AD56BC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2AB844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330997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AEA6DA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19</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587746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CGQJ3000</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C05289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结核感染T细胞检测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E8F3AF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样品类型：血液。样本采集、签收、处理，加免疫试剂，温育，检测，质控，审核结果，录入实验室信息系统或人工登记，发送报告；按规定处理废弃物；接受临床相关咨询。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AC093B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2.试剂</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0D17C4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EC1E5E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09EB02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713</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44BB0E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642</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5D09AE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578</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6CF89E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2F1CA3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部分支付</w:t>
            </w:r>
          </w:p>
        </w:tc>
      </w:tr>
      <w:tr w14:paraId="4296E5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89FC10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20</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D05775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CGKM1000</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59647D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抗缪勒氏管激素（AMH）检测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7DEAE8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样本类型：血液。样本采集、签收、处理，加免疫试剂，温育，检测，质控，审核结果，录入实验室信息系统或人工登记，发送报告；按规定处理废弃物；接受临床相关咨询。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15CA3E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2.校准品，质控品，试剂</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B773B9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9CFD97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D3F603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257</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B0CB79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231</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8395A1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208</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EBEFD1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513E8A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14F29C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EF534D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21</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94823C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CCFP5000</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6E6EEA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精子DNA碎片检测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562581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样本类型：精液。样本采集，加入染色剂，混匀孵育，上样。流式细胞仪分析，发送报告；按规定处理废弃物；接受临床相关咨询。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AF387C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2.试剂，质控品</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5629A7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DD0EC9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ABD52D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380</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33977B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342</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8BD1BF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308</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AC4547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E3E058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5D63EB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6AAD91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22</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349335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AAED0001</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AE1FF4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营养干预</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AFA94D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营养师制定个性化营养干预方案，通过营养干预手段对特殊人群及代谢失衡患者进行饮食追踪、体重管理、纠正代谢紊乱。营养医师对营养治疗效果评价及出院前营养状况出具评估报告；出院时营养治疗记录随病历保存。</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5214E0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087AB6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EC7B63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5F3517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36</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ADB205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32</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26E11E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29</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DA2D73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营养干预范围限定为不能经口进食的患者，主要是造瘘、鼻饲的患者。</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9567D6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010C91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70EB90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23</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BAC103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ABAF0001</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FB9EA9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连续动态血糖监测装置安装术</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B4A14B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安装动态血糖监测电池调节时间等各项设置，遵医嘱设定，所用一次性动态血糖监测耗材登记，取下腹部最佳植入部位，皮肤消毒待干燥后将一次性血糖监测探头植入皮下，透明贴膜固定并贴上穿刺时间，于别针固定。</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3738FD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1.透明贴膜</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5E3F98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一次性血糖监测探头</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782DA7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271838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67</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E48F92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60</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F2059D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54</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60192C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B584AE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310689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C16E90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24</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80C359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ABZH0001</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E851A8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气囊压测定</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EB7B7E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气囊测压表和配件用于给各种气管插管、气管切开插管、双腔支气管插管等的高容量低压气管插管充气、放气及压力检测。为了使气囊充气量达到恰当的效果，使用气囊测压表测量指导气囊注入气体容积，将气囊携带的针座接三通阀，阀的一侧接气囊测压表上的延长管，注入气体时，根据气囊测压表上显示的数值决定注射气体的量。</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92A645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893C12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三通阀</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E8119C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DF1E25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9FEC41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4.5</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834CF8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4</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412CE4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FE3559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3D42E4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53769F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25</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86768C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CEQT1000</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C88E12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肝素结合蛋白(HBP）检测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32B3A1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样本类型：血液。样本采集、签收、处理，定标和质控，检测样本，审核结果，录入实验室信息系统或人工登记，发送报告；按规定处理废弃物；接受临床相关咨询。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5DC277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2.试剂</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C991D6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6DA15F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970B32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238</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CEE02D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214</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FA860F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193</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46143F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E9FF25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部分支付</w:t>
            </w:r>
          </w:p>
        </w:tc>
      </w:tr>
      <w:tr w14:paraId="35A2F7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F502C8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26</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1B02A6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HYE89330</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F4324F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微小皮片制备移植术</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D21622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消毒供皮区，先用电动取皮刀切取0.1~0.3mm厚的自体皮，以0.2mm为宜，以表皮面朝上，真皮面贴于软木盘上，专用切皮机横竖各切割一次便形成196块边长3mm×3mm的微型皮片，专用医用胶水均匀喷洒于微型皮片表皮面上，干燥后将其与所需要扩展倍数的双褶薄纱紧贴并适当加压，使皮片完全黏附在薄纱上，用手捏薄纱横竖拉开完全展开皮片，修剪多余薄纱，放于生理盐水中备用。清理好切削痂创面，从生理盐水中取出制备好的双褶纱皮片，裁剪合适大小直接贴于创面，皮钉或缝线适当固定，术后常规包扎固定。</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4DEA02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E2FDB4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功能性敷料、皮钉及取皮刀片</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5A7890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545BCF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3420</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03D6EC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3078</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DB24E1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2770</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30282D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D078B8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239746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401335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27</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833C2D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ABJC0001</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F5783E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加温湿化高流量鼻导管氧疗</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FECD82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通过空氧混合器提供精确的氧浓度，提供最高达70L/min的流量，提供37°C相对湿度100%气体。不包含高频吸氧。</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15606D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4D1174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呼吸湿化治疗仪的鼻塞导管、加热呼吸管路</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869737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小时</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36408F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17</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AA790E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15</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C17871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14</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0CD233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F25812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723D55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4A7CA7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28</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264A73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CLBX5000</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7CDB2F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结核菌及利福平耐药基因的快速分子鉴定</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C0E0DC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样本类型：痰液、灌洗液、体液和结核分支杆菌阳性培养物等标本。含样本采集、签收、处理，质控品和阴阳性对照全自动一体化完成，2小时内判断并审核结果，录入实验室信息系统或人工登记，发送报告；按规定处理废弃物；接受临床相关咨询。</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A4A9A8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2.试剂</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0439966">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E523EF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项</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FAFBCE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665</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95F5C6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599</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4EE7E5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539</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3C8B75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5B38A2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092AEF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CA15EA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29</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C9AE41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BCAH0001</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68A8E6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全自动单独滴染HE检测</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DE50BA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手术切除的方式获得的人体各种组织标本，经过甲醛固定，由初检医师进行大体标本检查和取材，脱钙，由技师进行自动组织处理机脱水，透明，石蜡组织包埋机包埋，组织切片机切片，将切片通全自动单独滴染染色系统，完全替代了之前包括：烤片、脱腊、染色、封片等以往需要大量人工的步骤，从而在不增加人员的基础上，能够完成更大量的标本检测工作，在缩短检测时间的同时获得高品质的染色结果。为病理医师在显微镜下做出病理诊断，病理报告。</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1199B1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7BB34F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A5FDFA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片</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38FF62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24</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7389004">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22</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B07CCD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20</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60F012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全自动浸染HE染色可参照执行。</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A826BF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336FBE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75FF50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30</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0F8CCF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FDZ02702</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2DA91B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糖尿病足筛查</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99DD82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通过对被检查者的双足进行视诊，触诊血管搏动，踝反射以及温度觉、痛觉、压力觉、震动觉的检查了解患者是否为糖尿病足病高危人群，甚至是否已患糖尿病足病。医生完成诊断报告。</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CB25CC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1.单丝；1.一次性顿针头</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F6D647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33CA0A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BE69F0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76</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24EB27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68</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023B05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61</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86C2A7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60D2825">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4A51BF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73B26B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31</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91EBD6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HQT45105</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87FC7F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超声引导下经皮穿刺置管引流术</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2891DF1">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术前超声评估、精准定位，术前消毒，局部麻醉，超声引导下将穿刺针置入靶部位，引入导丝，导丝就位后、扩皮，顺导丝将引流管导入病变部位，退导丝及鞘管，外固定，必要时调整及冲洗。</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1013AC6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穿刺针、扩皮针、导管组建及引流装置</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53F4F8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导丝</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082889F">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部位</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88DB1F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778</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6E8CC5AB">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700</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CC5D11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630</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2AD59EA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0F354FE">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r w14:paraId="475B55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jc w:val="center"/>
        </w:trPr>
        <w:tc>
          <w:tcPr>
            <w:tcW w:w="637"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50132D8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32</w:t>
            </w:r>
          </w:p>
        </w:tc>
        <w:tc>
          <w:tcPr>
            <w:tcW w:w="114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5F27DF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FGJ01604</w:t>
            </w:r>
          </w:p>
        </w:tc>
        <w:tc>
          <w:tcPr>
            <w:tcW w:w="148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13192C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电子鼻咽喉镜检查</w:t>
            </w:r>
          </w:p>
        </w:tc>
        <w:tc>
          <w:tcPr>
            <w:tcW w:w="244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36AA793">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1%地卡因鼻腔、鼻咽、口腔、下咽黏膜表面麻醉，电子鼻咽喉镜经一侧鼻腔进入，检查鼻腔、鼻咽口咽腔、喉咽腔及下咽梨状窝、黏膜情况，是否有肿物、异物或其它情况。人工报告。不含活检。</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708479BA">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1.一次性口圈</w:t>
            </w:r>
          </w:p>
        </w:tc>
        <w:tc>
          <w:tcPr>
            <w:tcW w:w="127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A0DE4B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46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15BE67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55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48702E7D">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315</w:t>
            </w:r>
          </w:p>
        </w:tc>
        <w:tc>
          <w:tcPr>
            <w:tcW w:w="51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CF5E11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284</w:t>
            </w:r>
          </w:p>
        </w:tc>
        <w:tc>
          <w:tcPr>
            <w:tcW w:w="570"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2B16497">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256</w:t>
            </w:r>
          </w:p>
        </w:tc>
        <w:tc>
          <w:tcPr>
            <w:tcW w:w="495"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3685464C">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33" w:type="dxa"/>
            <w:tcBorders>
              <w:top w:val="nil"/>
              <w:left w:val="single" w:color="auto" w:sz="6" w:space="0"/>
              <w:bottom w:val="single" w:color="auto" w:sz="6" w:space="0"/>
              <w:right w:val="single" w:color="auto" w:sz="6" w:space="0"/>
            </w:tcBorders>
            <w:shd w:val="clear"/>
            <w:tcMar>
              <w:top w:w="0" w:type="dxa"/>
              <w:left w:w="0" w:type="dxa"/>
              <w:bottom w:w="0" w:type="dxa"/>
              <w:right w:w="0" w:type="dxa"/>
            </w:tcMar>
            <w:vAlign w:val="center"/>
          </w:tcPr>
          <w:p w14:paraId="0E6CDAA0">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shd w:val="clear" w:fill="FFFFFF"/>
              </w:rPr>
              <w:t>不予支付</w:t>
            </w:r>
          </w:p>
        </w:tc>
      </w:tr>
    </w:tbl>
    <w:p w14:paraId="24F727A5">
      <w:pPr>
        <w:keepNext w:val="0"/>
        <w:keepLines w:val="0"/>
        <w:widowControl/>
        <w:suppressLineNumbers w:val="0"/>
        <w:jc w:val="left"/>
      </w:pPr>
    </w:p>
    <w:p w14:paraId="4A9667A5">
      <w:pPr>
        <w:pStyle w:val="15"/>
        <w:keepNext w:val="0"/>
        <w:keepLines w:val="0"/>
        <w:widowControl/>
        <w:suppressLineNumbers w:val="0"/>
        <w:shd w:val="clear" w:fill="FFFFFF"/>
        <w:spacing w:before="0" w:beforeAutospacing="0" w:after="0" w:afterAutospacing="0" w:line="300" w:lineRule="atLeast"/>
        <w:ind w:left="0" w:right="641" w:firstLine="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14:paraId="209197D0">
      <w:pPr>
        <w:pStyle w:val="15"/>
        <w:keepNext w:val="0"/>
        <w:keepLines w:val="0"/>
        <w:widowControl/>
        <w:suppressLineNumbers w:val="0"/>
        <w:shd w:val="clear" w:fill="FFFFFF"/>
        <w:spacing w:before="0" w:beforeAutospacing="0" w:after="0" w:afterAutospacing="0" w:line="300" w:lineRule="atLeast"/>
        <w:ind w:left="0" w:right="641" w:firstLine="0"/>
        <w:jc w:val="left"/>
        <w:rPr>
          <w:rFonts w:hint="default" w:ascii="Calibri" w:hAnsi="Calibri" w:cs="Calibri"/>
          <w:i w:val="0"/>
          <w:iCs w:val="0"/>
          <w:caps w:val="0"/>
          <w:color w:val="333333"/>
          <w:spacing w:val="0"/>
          <w:sz w:val="21"/>
          <w:szCs w:val="21"/>
          <w:shd w:val="clear" w:fill="FFFFFF"/>
        </w:rPr>
      </w:pPr>
      <w:r>
        <w:rPr>
          <w:rFonts w:hint="default" w:ascii="Calibri" w:hAnsi="Calibri" w:cs="Calibri"/>
          <w:i w:val="0"/>
          <w:iCs w:val="0"/>
          <w:caps w:val="0"/>
          <w:color w:val="333333"/>
          <w:spacing w:val="0"/>
          <w:sz w:val="21"/>
          <w:szCs w:val="21"/>
          <w:shd w:val="clear" w:fill="FFFFFF"/>
        </w:rPr>
        <w:t> </w:t>
      </w:r>
    </w:p>
    <w:p w14:paraId="58BC9A90">
      <w:pPr>
        <w:pStyle w:val="15"/>
        <w:keepNext w:val="0"/>
        <w:keepLines w:val="0"/>
        <w:widowControl/>
        <w:suppressLineNumbers w:val="0"/>
        <w:shd w:val="clear" w:fill="FFFFFF"/>
        <w:spacing w:before="0" w:beforeAutospacing="0" w:after="0" w:afterAutospacing="0" w:line="300" w:lineRule="atLeast"/>
        <w:ind w:left="0" w:right="641" w:firstLine="0"/>
        <w:jc w:val="left"/>
        <w:rPr>
          <w:rFonts w:hint="default" w:ascii="Calibri" w:hAnsi="Calibri" w:cs="Calibri"/>
          <w:i w:val="0"/>
          <w:iCs w:val="0"/>
          <w:caps w:val="0"/>
          <w:color w:val="333333"/>
          <w:spacing w:val="0"/>
          <w:sz w:val="21"/>
          <w:szCs w:val="21"/>
          <w:shd w:val="clear" w:fill="FFFFFF"/>
        </w:rPr>
      </w:pPr>
    </w:p>
    <w:p w14:paraId="0167369C">
      <w:pPr>
        <w:pStyle w:val="15"/>
        <w:keepNext w:val="0"/>
        <w:keepLines w:val="0"/>
        <w:widowControl/>
        <w:suppressLineNumbers w:val="0"/>
        <w:shd w:val="clear" w:fill="FFFFFF"/>
        <w:spacing w:before="0" w:beforeAutospacing="0" w:after="0" w:afterAutospacing="0" w:line="300" w:lineRule="atLeast"/>
        <w:ind w:left="0" w:right="641" w:firstLine="0"/>
        <w:jc w:val="left"/>
        <w:rPr>
          <w:rFonts w:hint="default" w:ascii="Calibri" w:hAnsi="Calibri" w:cs="Calibri"/>
          <w:i w:val="0"/>
          <w:iCs w:val="0"/>
          <w:caps w:val="0"/>
          <w:color w:val="333333"/>
          <w:spacing w:val="0"/>
          <w:sz w:val="21"/>
          <w:szCs w:val="21"/>
          <w:shd w:val="clear" w:fill="FFFFFF"/>
        </w:rPr>
      </w:pPr>
    </w:p>
    <w:p w14:paraId="1E83C52F">
      <w:pPr>
        <w:pStyle w:val="15"/>
        <w:keepNext w:val="0"/>
        <w:keepLines w:val="0"/>
        <w:widowControl/>
        <w:suppressLineNumbers w:val="0"/>
        <w:shd w:val="clear" w:fill="FFFFFF"/>
        <w:spacing w:before="0" w:beforeAutospacing="0" w:after="0" w:afterAutospacing="0" w:line="300" w:lineRule="atLeast"/>
        <w:ind w:left="0" w:right="641" w:firstLine="0"/>
        <w:jc w:val="left"/>
        <w:rPr>
          <w:rFonts w:hint="default" w:ascii="Calibri" w:hAnsi="Calibri" w:cs="Calibri"/>
          <w:i w:val="0"/>
          <w:iCs w:val="0"/>
          <w:caps w:val="0"/>
          <w:color w:val="333333"/>
          <w:spacing w:val="0"/>
          <w:sz w:val="21"/>
          <w:szCs w:val="21"/>
          <w:shd w:val="clear" w:fill="FFFFFF"/>
        </w:rPr>
      </w:pPr>
    </w:p>
    <w:p w14:paraId="1DF93CB8">
      <w:pPr>
        <w:pStyle w:val="15"/>
        <w:keepNext w:val="0"/>
        <w:keepLines w:val="0"/>
        <w:widowControl/>
        <w:suppressLineNumbers w:val="0"/>
        <w:shd w:val="clear" w:fill="FFFFFF"/>
        <w:spacing w:before="0" w:beforeAutospacing="0" w:after="0" w:afterAutospacing="0" w:line="300" w:lineRule="atLeast"/>
        <w:ind w:left="0" w:right="641" w:firstLine="0"/>
        <w:jc w:val="left"/>
        <w:rPr>
          <w:rFonts w:hint="default" w:ascii="Calibri" w:hAnsi="Calibri" w:cs="Calibri"/>
          <w:i w:val="0"/>
          <w:iCs w:val="0"/>
          <w:caps w:val="0"/>
          <w:color w:val="333333"/>
          <w:spacing w:val="0"/>
          <w:sz w:val="21"/>
          <w:szCs w:val="21"/>
          <w:shd w:val="clear" w:fill="FFFFFF"/>
        </w:rPr>
      </w:pPr>
    </w:p>
    <w:p w14:paraId="60A26951">
      <w:pPr>
        <w:pStyle w:val="15"/>
        <w:keepNext w:val="0"/>
        <w:keepLines w:val="0"/>
        <w:widowControl/>
        <w:suppressLineNumbers w:val="0"/>
        <w:shd w:val="clear" w:fill="FFFFFF"/>
        <w:spacing w:before="0" w:beforeAutospacing="0" w:after="0" w:afterAutospacing="0" w:line="300" w:lineRule="atLeast"/>
        <w:ind w:left="0" w:right="641" w:firstLine="0"/>
        <w:jc w:val="left"/>
        <w:rPr>
          <w:rFonts w:hint="eastAsia" w:ascii="方正仿宋_GBK" w:hAnsi="方正仿宋_GBK" w:eastAsia="方正仿宋_GBK" w:cs="方正仿宋_GBK"/>
          <w:i w:val="0"/>
          <w:iCs w:val="0"/>
          <w:caps w:val="0"/>
          <w:color w:val="333333"/>
          <w:spacing w:val="0"/>
          <w:sz w:val="32"/>
          <w:szCs w:val="32"/>
          <w:shd w:val="clear" w:fill="FFFFFF"/>
        </w:rPr>
      </w:pPr>
    </w:p>
    <w:p w14:paraId="1C918E05">
      <w:pPr>
        <w:pStyle w:val="15"/>
        <w:keepNext w:val="0"/>
        <w:keepLines w:val="0"/>
        <w:widowControl/>
        <w:suppressLineNumbers w:val="0"/>
        <w:shd w:val="clear" w:fill="FFFFFF"/>
        <w:spacing w:before="0" w:beforeAutospacing="0" w:after="0" w:afterAutospacing="0" w:line="300" w:lineRule="atLeast"/>
        <w:ind w:left="0" w:right="641" w:firstLine="0"/>
        <w:jc w:val="left"/>
        <w:rPr>
          <w:rFonts w:hint="eastAsia" w:ascii="方正仿宋_GBK" w:hAnsi="方正仿宋_GBK" w:eastAsia="方正仿宋_GBK" w:cs="方正仿宋_GBK"/>
          <w:i w:val="0"/>
          <w:iCs w:val="0"/>
          <w:caps w:val="0"/>
          <w:color w:val="333333"/>
          <w:spacing w:val="0"/>
          <w:sz w:val="32"/>
          <w:szCs w:val="32"/>
          <w:shd w:val="clear" w:fill="FFFFFF"/>
        </w:rPr>
      </w:pPr>
    </w:p>
    <w:p w14:paraId="62FA7504">
      <w:pPr>
        <w:pStyle w:val="15"/>
        <w:keepNext w:val="0"/>
        <w:keepLines w:val="0"/>
        <w:widowControl/>
        <w:suppressLineNumbers w:val="0"/>
        <w:shd w:val="clear" w:fill="FFFFFF"/>
        <w:spacing w:before="0" w:beforeAutospacing="0" w:after="0" w:afterAutospacing="0" w:line="300" w:lineRule="atLeast"/>
        <w:ind w:left="0" w:right="641" w:firstLine="0"/>
        <w:jc w:val="left"/>
        <w:rPr>
          <w:rFonts w:hint="eastAsia" w:ascii="方正仿宋_GBK" w:hAnsi="方正仿宋_GBK" w:eastAsia="方正仿宋_GBK" w:cs="方正仿宋_GBK"/>
          <w:i w:val="0"/>
          <w:iCs w:val="0"/>
          <w:caps w:val="0"/>
          <w:color w:val="333333"/>
          <w:spacing w:val="0"/>
          <w:sz w:val="32"/>
          <w:szCs w:val="32"/>
          <w:shd w:val="clear" w:fill="FFFFFF"/>
        </w:rPr>
      </w:pPr>
    </w:p>
    <w:p w14:paraId="30F3C070">
      <w:pPr>
        <w:pStyle w:val="15"/>
        <w:keepNext w:val="0"/>
        <w:keepLines w:val="0"/>
        <w:widowControl/>
        <w:suppressLineNumbers w:val="0"/>
        <w:shd w:val="clear" w:fill="FFFFFF"/>
        <w:spacing w:before="0" w:beforeAutospacing="0" w:after="0" w:afterAutospacing="0" w:line="300" w:lineRule="atLeast"/>
        <w:ind w:left="0" w:right="641" w:firstLine="0"/>
        <w:jc w:val="left"/>
        <w:rPr>
          <w:rFonts w:hint="eastAsia" w:ascii="方正仿宋_GBK" w:hAnsi="方正仿宋_GBK" w:eastAsia="方正仿宋_GBK" w:cs="方正仿宋_GBK"/>
          <w:i w:val="0"/>
          <w:iCs w:val="0"/>
          <w:caps w:val="0"/>
          <w:color w:val="333333"/>
          <w:spacing w:val="0"/>
          <w:sz w:val="32"/>
          <w:szCs w:val="32"/>
          <w:shd w:val="clear" w:fill="FFFFFF"/>
        </w:rPr>
      </w:pPr>
    </w:p>
    <w:p w14:paraId="6E6D88B0">
      <w:pPr>
        <w:pStyle w:val="15"/>
        <w:keepNext w:val="0"/>
        <w:keepLines w:val="0"/>
        <w:widowControl/>
        <w:suppressLineNumbers w:val="0"/>
        <w:shd w:val="clear" w:fill="FFFFFF"/>
        <w:spacing w:before="0" w:beforeAutospacing="0" w:after="0" w:afterAutospacing="0" w:line="300" w:lineRule="atLeast"/>
        <w:ind w:left="0" w:right="641" w:firstLine="0"/>
        <w:jc w:val="left"/>
        <w:rPr>
          <w:rFonts w:hint="eastAsia" w:ascii="方正仿宋_GBK" w:hAnsi="方正仿宋_GBK" w:eastAsia="方正仿宋_GBK" w:cs="方正仿宋_GBK"/>
          <w:i w:val="0"/>
          <w:iCs w:val="0"/>
          <w:caps w:val="0"/>
          <w:color w:val="333333"/>
          <w:spacing w:val="0"/>
          <w:sz w:val="32"/>
          <w:szCs w:val="32"/>
          <w:shd w:val="clear" w:fill="FFFFFF"/>
        </w:rPr>
      </w:pPr>
    </w:p>
    <w:p w14:paraId="56FAEEB7">
      <w:pPr>
        <w:pStyle w:val="15"/>
        <w:keepNext w:val="0"/>
        <w:keepLines w:val="0"/>
        <w:widowControl/>
        <w:suppressLineNumbers w:val="0"/>
        <w:shd w:val="clear" w:fill="FFFFFF"/>
        <w:spacing w:before="0" w:beforeAutospacing="0" w:after="0" w:afterAutospacing="0" w:line="300" w:lineRule="atLeast"/>
        <w:ind w:left="0" w:right="641" w:firstLine="0"/>
        <w:jc w:val="left"/>
        <w:rPr>
          <w:rFonts w:hint="eastAsia" w:ascii="方正仿宋_GBK" w:hAnsi="方正仿宋_GBK" w:eastAsia="方正仿宋_GBK" w:cs="方正仿宋_GBK"/>
          <w:i w:val="0"/>
          <w:iCs w:val="0"/>
          <w:caps w:val="0"/>
          <w:color w:val="333333"/>
          <w:spacing w:val="0"/>
          <w:sz w:val="32"/>
          <w:szCs w:val="32"/>
          <w:shd w:val="clear" w:fill="FFFFFF"/>
        </w:rPr>
      </w:pPr>
    </w:p>
    <w:p w14:paraId="0B0754FE">
      <w:pPr>
        <w:pStyle w:val="15"/>
        <w:keepNext w:val="0"/>
        <w:keepLines w:val="0"/>
        <w:widowControl/>
        <w:suppressLineNumbers w:val="0"/>
        <w:shd w:val="clear" w:fill="FFFFFF"/>
        <w:spacing w:before="0" w:beforeAutospacing="0" w:after="0" w:afterAutospacing="0" w:line="300" w:lineRule="atLeast"/>
        <w:ind w:left="0" w:right="641" w:firstLine="0"/>
        <w:jc w:val="left"/>
        <w:rPr>
          <w:rFonts w:hint="eastAsia" w:ascii="方正仿宋_GBK" w:hAnsi="方正仿宋_GBK" w:eastAsia="方正仿宋_GBK" w:cs="方正仿宋_GBK"/>
          <w:i w:val="0"/>
          <w:iCs w:val="0"/>
          <w:caps w:val="0"/>
          <w:color w:val="333333"/>
          <w:spacing w:val="0"/>
          <w:sz w:val="32"/>
          <w:szCs w:val="32"/>
          <w:shd w:val="clear" w:fill="FFFFFF"/>
        </w:rPr>
      </w:pPr>
    </w:p>
    <w:p w14:paraId="2F876D64">
      <w:pPr>
        <w:pStyle w:val="15"/>
        <w:keepNext w:val="0"/>
        <w:keepLines w:val="0"/>
        <w:widowControl/>
        <w:suppressLineNumbers w:val="0"/>
        <w:shd w:val="clear" w:fill="FFFFFF"/>
        <w:spacing w:before="0" w:beforeAutospacing="0" w:after="0" w:afterAutospacing="0" w:line="300" w:lineRule="atLeast"/>
        <w:ind w:left="0" w:right="641" w:firstLine="0"/>
        <w:jc w:val="left"/>
        <w:rPr>
          <w:rFonts w:hint="eastAsia" w:ascii="方正仿宋_GBK" w:hAnsi="方正仿宋_GBK" w:eastAsia="方正仿宋_GBK" w:cs="方正仿宋_GBK"/>
          <w:i w:val="0"/>
          <w:iCs w:val="0"/>
          <w:caps w:val="0"/>
          <w:color w:val="333333"/>
          <w:spacing w:val="0"/>
          <w:sz w:val="32"/>
          <w:szCs w:val="32"/>
          <w:shd w:val="clear" w:fill="FFFFFF"/>
        </w:rPr>
      </w:pPr>
    </w:p>
    <w:p w14:paraId="52B184BB">
      <w:pPr>
        <w:keepNext w:val="0"/>
        <w:keepLines w:val="0"/>
        <w:pageBreakBefore w:val="0"/>
        <w:widowControl w:val="0"/>
        <w:suppressAutoHyphens/>
        <w:kinsoku/>
        <w:wordWrap/>
        <w:overflowPunct/>
        <w:topLinePunct w:val="0"/>
        <w:autoSpaceDE/>
        <w:autoSpaceDN/>
        <w:bidi w:val="0"/>
        <w:adjustRightInd/>
        <w:snapToGrid/>
        <w:spacing w:line="590" w:lineRule="exact"/>
        <w:ind w:right="0"/>
        <w:jc w:val="left"/>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sz w:val="32"/>
          <w:szCs w:val="32"/>
        </w:rPr>
        <w:t>抄送:市市场监督管理局，市内民营医疗机构。</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40FF">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55BC3">
                          <w:pPr>
                            <w:pStyle w:val="7"/>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0E855BC3">
                    <w:pPr>
                      <w:pStyle w:val="7"/>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A16FB5">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14:paraId="12987F6F">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12E0">
    <w:pPr>
      <w:pStyle w:val="12"/>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黄山市医疗保障局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2AC1230"/>
    <w:rsid w:val="044602F9"/>
    <w:rsid w:val="04B679C3"/>
    <w:rsid w:val="04CE3D21"/>
    <w:rsid w:val="05EB588B"/>
    <w:rsid w:val="080F63D8"/>
    <w:rsid w:val="09341458"/>
    <w:rsid w:val="0A726EFC"/>
    <w:rsid w:val="0B0912D7"/>
    <w:rsid w:val="0B7D65FC"/>
    <w:rsid w:val="152D2DCA"/>
    <w:rsid w:val="17FF6A0B"/>
    <w:rsid w:val="1DEC284C"/>
    <w:rsid w:val="1E6523AC"/>
    <w:rsid w:val="22440422"/>
    <w:rsid w:val="23DF164F"/>
    <w:rsid w:val="24F44C86"/>
    <w:rsid w:val="27077982"/>
    <w:rsid w:val="27A4603E"/>
    <w:rsid w:val="290D2324"/>
    <w:rsid w:val="2BBD07DD"/>
    <w:rsid w:val="31A15F24"/>
    <w:rsid w:val="3341378C"/>
    <w:rsid w:val="341C55D6"/>
    <w:rsid w:val="35A26038"/>
    <w:rsid w:val="36E25286"/>
    <w:rsid w:val="38EA6674"/>
    <w:rsid w:val="38EF5400"/>
    <w:rsid w:val="395347B5"/>
    <w:rsid w:val="39A232A0"/>
    <w:rsid w:val="39E745AA"/>
    <w:rsid w:val="3AF7A775"/>
    <w:rsid w:val="3B5A6BBB"/>
    <w:rsid w:val="3C1C10A8"/>
    <w:rsid w:val="3C340332"/>
    <w:rsid w:val="3CECFB30"/>
    <w:rsid w:val="3EDA13A6"/>
    <w:rsid w:val="3FBF015B"/>
    <w:rsid w:val="3FEDB706"/>
    <w:rsid w:val="3FFFD2C6"/>
    <w:rsid w:val="42F058B7"/>
    <w:rsid w:val="436109F6"/>
    <w:rsid w:val="441A38D4"/>
    <w:rsid w:val="47D77554"/>
    <w:rsid w:val="4BC77339"/>
    <w:rsid w:val="4C894BF7"/>
    <w:rsid w:val="4C9236C5"/>
    <w:rsid w:val="505C172E"/>
    <w:rsid w:val="52C84ED8"/>
    <w:rsid w:val="52F46F0B"/>
    <w:rsid w:val="53D8014D"/>
    <w:rsid w:val="55DA73FC"/>
    <w:rsid w:val="55E064E0"/>
    <w:rsid w:val="56B57E6A"/>
    <w:rsid w:val="572C6D10"/>
    <w:rsid w:val="5D656145"/>
    <w:rsid w:val="5DC34279"/>
    <w:rsid w:val="5EBFF57E"/>
    <w:rsid w:val="5F4A1193"/>
    <w:rsid w:val="5FFF3173"/>
    <w:rsid w:val="608816D1"/>
    <w:rsid w:val="60EF4E7F"/>
    <w:rsid w:val="629D8E0A"/>
    <w:rsid w:val="66377F53"/>
    <w:rsid w:val="665233C1"/>
    <w:rsid w:val="67A020DA"/>
    <w:rsid w:val="67A91325"/>
    <w:rsid w:val="67F3476A"/>
    <w:rsid w:val="68914293"/>
    <w:rsid w:val="6AD9688B"/>
    <w:rsid w:val="6BFE0CED"/>
    <w:rsid w:val="6D0E3F22"/>
    <w:rsid w:val="6DFD9271"/>
    <w:rsid w:val="6FFD085F"/>
    <w:rsid w:val="75FD9FF7"/>
    <w:rsid w:val="776D9A4A"/>
    <w:rsid w:val="7B2F89FD"/>
    <w:rsid w:val="7C9011D9"/>
    <w:rsid w:val="7DC651C5"/>
    <w:rsid w:val="7DFCC429"/>
    <w:rsid w:val="7E0432E2"/>
    <w:rsid w:val="7EDAE488"/>
    <w:rsid w:val="7F4E7FC4"/>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5">
    <w:name w:val="annotation text"/>
    <w:basedOn w:val="1"/>
    <w:qFormat/>
    <w:uiPriority w:val="0"/>
    <w:pPr>
      <w:jc w:val="left"/>
    </w:pPr>
  </w:style>
  <w:style w:type="paragraph" w:styleId="6">
    <w:name w:val="Body Text"/>
    <w:basedOn w:val="1"/>
    <w:next w:val="7"/>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Indent"/>
    <w:basedOn w:val="1"/>
    <w:next w:val="4"/>
    <w:semiHidden/>
    <w:qFormat/>
    <w:uiPriority w:val="99"/>
    <w:pPr>
      <w:spacing w:after="120"/>
      <w:ind w:left="420" w:leftChars="200"/>
    </w:pPr>
  </w:style>
  <w:style w:type="paragraph" w:styleId="9">
    <w:name w:val="Plain Text"/>
    <w:basedOn w:val="1"/>
    <w:qFormat/>
    <w:uiPriority w:val="0"/>
    <w:rPr>
      <w:rFonts w:ascii="Calibri" w:hAnsi="Calibri"/>
      <w:szCs w:val="21"/>
    </w:r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5"/>
    <w:qFormat/>
    <w:uiPriority w:val="0"/>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jc w:val="center"/>
      <w:outlineLvl w:val="0"/>
    </w:pPr>
    <w:rPr>
      <w:rFonts w:ascii="Arial" w:hAnsi="Arial" w:eastAsia="宋体"/>
      <w:b/>
    </w:rPr>
  </w:style>
  <w:style w:type="paragraph" w:styleId="17">
    <w:name w:val="Body Text First Indent"/>
    <w:basedOn w:val="6"/>
    <w:qFormat/>
    <w:uiPriority w:val="0"/>
    <w:pPr>
      <w:spacing w:after="0"/>
      <w:ind w:firstLine="420"/>
    </w:pPr>
    <w:rPr>
      <w:sz w:val="32"/>
    </w:rPr>
  </w:style>
  <w:style w:type="paragraph" w:styleId="18">
    <w:name w:val="Body Text First Indent 2"/>
    <w:basedOn w:val="8"/>
    <w:next w:val="8"/>
    <w:qFormat/>
    <w:uiPriority w:val="99"/>
    <w:pPr>
      <w:ind w:firstLine="420" w:firstLineChars="200"/>
    </w:p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iPriority w:val="0"/>
    <w:rPr>
      <w:color w:val="0000FF"/>
      <w:u w:val="single"/>
    </w:rPr>
  </w:style>
  <w:style w:type="character" w:styleId="23">
    <w:name w:val="annotation reference"/>
    <w:basedOn w:val="21"/>
    <w:qFormat/>
    <w:uiPriority w:val="0"/>
    <w:rPr>
      <w:sz w:val="21"/>
      <w:szCs w:val="21"/>
    </w:rPr>
  </w:style>
  <w:style w:type="paragraph" w:customStyle="1" w:styleId="24">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5">
    <w:name w:val="批注框文本 Char"/>
    <w:basedOn w:val="21"/>
    <w:link w:val="11"/>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p0"/>
    <w:basedOn w:val="1"/>
    <w:qFormat/>
    <w:uiPriority w:val="0"/>
    <w:pPr>
      <w:widowControl/>
    </w:pPr>
    <w:rPr>
      <w:rFonts w:ascii="Calibri" w:hAnsi="Calibri" w:cs="宋体"/>
      <w:kern w:val="0"/>
      <w:szCs w:val="21"/>
    </w:rPr>
  </w:style>
  <w:style w:type="paragraph" w:customStyle="1" w:styleId="29">
    <w:name w:val="公文正文"/>
    <w:basedOn w:val="30"/>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30">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1274</Words>
  <Characters>1321</Characters>
  <Lines>5</Lines>
  <Paragraphs>1</Paragraphs>
  <TotalTime>3</TotalTime>
  <ScaleCrop>false</ScaleCrop>
  <LinksUpToDate>false</LinksUpToDate>
  <CharactersWithSpaces>1323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WPS_1641775660</cp:lastModifiedBy>
  <cp:lastPrinted>2021-11-06T03:30:00Z</cp:lastPrinted>
  <dcterms:modified xsi:type="dcterms:W3CDTF">2025-05-06T01:57:53Z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eyJoZGlkIjoiZTAwODRiZWZlZWFmNmJjYWVhMGVjZjkxODJiNTZiNzYiLCJ1c2VySWQiOiIxMzExMTk1NDE1In0=</vt:lpwstr>
  </property>
</Properties>
</file>